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right="2" w:rightChars="1"/>
        <w:jc w:val="center"/>
        <w:rPr>
          <w:rFonts w:hint="eastAsia" w:ascii="宋体" w:hAnsi="宋体"/>
          <w:b/>
          <w:sz w:val="44"/>
          <w:szCs w:val="44"/>
        </w:rPr>
      </w:pPr>
    </w:p>
    <w:p>
      <w:pPr>
        <w:snapToGrid w:val="0"/>
        <w:spacing w:line="360" w:lineRule="auto"/>
        <w:ind w:right="2" w:rightChars="1"/>
        <w:jc w:val="center"/>
        <w:rPr>
          <w:rFonts w:hint="eastAsia" w:ascii="宋体" w:hAnsi="宋体"/>
          <w:b/>
          <w:sz w:val="44"/>
          <w:szCs w:val="44"/>
        </w:rPr>
      </w:pPr>
    </w:p>
    <w:p>
      <w:pPr>
        <w:snapToGrid w:val="0"/>
        <w:spacing w:line="360" w:lineRule="auto"/>
        <w:ind w:right="2" w:rightChars="1"/>
        <w:jc w:val="center"/>
        <w:rPr>
          <w:rFonts w:hint="eastAsia" w:ascii="宋体" w:hAnsi="宋体"/>
          <w:b/>
          <w:sz w:val="44"/>
          <w:szCs w:val="44"/>
        </w:rPr>
      </w:pPr>
    </w:p>
    <w:p>
      <w:pPr>
        <w:snapToGrid w:val="0"/>
        <w:spacing w:line="360" w:lineRule="auto"/>
        <w:ind w:right="2" w:rightChars="1"/>
        <w:jc w:val="center"/>
        <w:rPr>
          <w:rFonts w:hint="eastAsia" w:ascii="宋体" w:hAnsi="宋体" w:eastAsia="宋体" w:cs="Times New Roman"/>
          <w:b/>
          <w:sz w:val="44"/>
          <w:szCs w:val="44"/>
          <w:lang w:eastAsia="zh-CN"/>
        </w:rPr>
      </w:pPr>
      <w:r>
        <w:rPr>
          <w:rFonts w:hint="eastAsia" w:ascii="宋体" w:hAnsi="宋体"/>
          <w:b/>
          <w:sz w:val="44"/>
          <w:szCs w:val="44"/>
        </w:rPr>
        <w:t>甘肃酒钢集团</w:t>
      </w:r>
      <w:r>
        <w:rPr>
          <w:rFonts w:hint="eastAsia" w:ascii="宋体" w:hAnsi="宋体"/>
          <w:b/>
          <w:sz w:val="44"/>
          <w:szCs w:val="44"/>
          <w:lang w:eastAsia="zh-CN"/>
        </w:rPr>
        <w:t>宏博新材料公司</w:t>
      </w:r>
      <w:r>
        <w:rPr>
          <w:rFonts w:hint="eastAsia" w:ascii="宋体" w:hAnsi="宋体" w:eastAsia="宋体" w:cs="Times New Roman"/>
          <w:b/>
          <w:sz w:val="44"/>
          <w:szCs w:val="44"/>
          <w:lang w:eastAsia="zh-CN"/>
        </w:rPr>
        <w:t>副枪小车\总成 FT/FQ-2401-04 转炉副枪装置</w:t>
      </w:r>
      <w:r>
        <w:rPr>
          <w:rFonts w:hint="eastAsia" w:ascii="宋体" w:hAnsi="宋体" w:eastAsia="宋体" w:cs="Times New Roman"/>
          <w:b/>
          <w:sz w:val="44"/>
          <w:szCs w:val="44"/>
          <w:lang w:val="en-US" w:eastAsia="zh-CN"/>
        </w:rPr>
        <w:t xml:space="preserve">                    </w:t>
      </w:r>
      <w:r>
        <w:rPr>
          <w:rFonts w:hint="eastAsia" w:ascii="宋体" w:hAnsi="宋体" w:eastAsia="宋体" w:cs="Times New Roman"/>
          <w:b/>
          <w:sz w:val="44"/>
          <w:szCs w:val="44"/>
          <w:lang w:eastAsia="zh-CN"/>
        </w:rPr>
        <w:t>采购</w:t>
      </w:r>
    </w:p>
    <w:p>
      <w:pPr>
        <w:snapToGrid w:val="0"/>
        <w:spacing w:line="360" w:lineRule="auto"/>
        <w:ind w:right="-447"/>
        <w:rPr>
          <w:rFonts w:hint="eastAsia" w:ascii="宋体" w:hAnsi="宋体"/>
          <w:b/>
          <w:sz w:val="44"/>
          <w:szCs w:val="44"/>
        </w:rPr>
      </w:pPr>
    </w:p>
    <w:p>
      <w:pPr>
        <w:snapToGrid w:val="0"/>
        <w:spacing w:line="360" w:lineRule="auto"/>
        <w:ind w:right="-447"/>
        <w:rPr>
          <w:rFonts w:hint="eastAsia" w:ascii="宋体" w:hAnsi="宋体"/>
          <w:b/>
          <w:sz w:val="36"/>
          <w:szCs w:val="48"/>
        </w:rPr>
      </w:pPr>
    </w:p>
    <w:p>
      <w:pPr>
        <w:snapToGrid w:val="0"/>
        <w:spacing w:line="360" w:lineRule="auto"/>
        <w:ind w:right="-447"/>
        <w:jc w:val="center"/>
        <w:rPr>
          <w:rFonts w:hint="eastAsia" w:ascii="宋体" w:hAnsi="宋体"/>
          <w:b/>
          <w:sz w:val="44"/>
          <w:szCs w:val="44"/>
        </w:rPr>
      </w:pPr>
      <w:r>
        <w:rPr>
          <w:rFonts w:hint="eastAsia" w:ascii="宋体" w:hAnsi="宋体"/>
          <w:b/>
          <w:sz w:val="44"/>
          <w:szCs w:val="44"/>
        </w:rPr>
        <w:t>技</w:t>
      </w:r>
    </w:p>
    <w:p>
      <w:pPr>
        <w:snapToGrid w:val="0"/>
        <w:spacing w:line="360" w:lineRule="auto"/>
        <w:ind w:right="-447"/>
        <w:jc w:val="center"/>
        <w:rPr>
          <w:rFonts w:hint="eastAsia" w:ascii="宋体" w:hAnsi="宋体"/>
          <w:b/>
          <w:sz w:val="44"/>
          <w:szCs w:val="44"/>
        </w:rPr>
      </w:pPr>
      <w:r>
        <w:rPr>
          <w:rFonts w:hint="eastAsia" w:ascii="宋体" w:hAnsi="宋体"/>
          <w:b/>
          <w:sz w:val="44"/>
          <w:szCs w:val="44"/>
          <w:lang w:val="en-US" w:eastAsia="zh-CN"/>
        </w:rPr>
        <w:t xml:space="preserve">                                                 </w:t>
      </w:r>
      <w:r>
        <w:rPr>
          <w:rFonts w:hint="eastAsia" w:ascii="宋体" w:hAnsi="宋体"/>
          <w:b/>
          <w:sz w:val="44"/>
          <w:szCs w:val="44"/>
        </w:rPr>
        <w:t>术</w:t>
      </w:r>
    </w:p>
    <w:p>
      <w:pPr>
        <w:snapToGrid w:val="0"/>
        <w:spacing w:line="360" w:lineRule="auto"/>
        <w:ind w:right="-447"/>
        <w:jc w:val="center"/>
        <w:rPr>
          <w:rFonts w:hint="eastAsia" w:ascii="宋体" w:hAnsi="宋体"/>
          <w:b/>
          <w:sz w:val="44"/>
          <w:szCs w:val="44"/>
        </w:rPr>
      </w:pPr>
    </w:p>
    <w:p>
      <w:pPr>
        <w:snapToGrid w:val="0"/>
        <w:spacing w:line="360" w:lineRule="auto"/>
        <w:ind w:right="-447"/>
        <w:jc w:val="center"/>
        <w:rPr>
          <w:rFonts w:hint="eastAsia" w:ascii="宋体" w:hAnsi="宋体" w:eastAsia="宋体"/>
          <w:b/>
          <w:sz w:val="44"/>
          <w:szCs w:val="44"/>
          <w:lang w:eastAsia="zh-CN"/>
        </w:rPr>
      </w:pPr>
      <w:r>
        <w:rPr>
          <w:rFonts w:hint="eastAsia" w:ascii="宋体" w:hAnsi="宋体"/>
          <w:b/>
          <w:sz w:val="44"/>
          <w:szCs w:val="44"/>
          <w:lang w:eastAsia="zh-CN"/>
        </w:rPr>
        <w:t>规</w:t>
      </w:r>
    </w:p>
    <w:p>
      <w:pPr>
        <w:snapToGrid w:val="0"/>
        <w:spacing w:line="360" w:lineRule="auto"/>
        <w:ind w:right="-447"/>
        <w:jc w:val="center"/>
        <w:rPr>
          <w:rFonts w:hint="eastAsia" w:ascii="宋体" w:hAnsi="宋体"/>
          <w:b/>
          <w:sz w:val="44"/>
          <w:szCs w:val="44"/>
        </w:rPr>
      </w:pPr>
    </w:p>
    <w:p>
      <w:pPr>
        <w:snapToGrid w:val="0"/>
        <w:spacing w:line="360" w:lineRule="auto"/>
        <w:ind w:right="-447"/>
        <w:jc w:val="center"/>
        <w:rPr>
          <w:rFonts w:hint="eastAsia" w:ascii="宋体" w:hAnsi="宋体"/>
          <w:b/>
          <w:sz w:val="44"/>
          <w:szCs w:val="44"/>
          <w:lang w:eastAsia="zh-CN"/>
        </w:rPr>
      </w:pPr>
      <w:r>
        <w:rPr>
          <w:rFonts w:hint="eastAsia" w:ascii="宋体" w:hAnsi="宋体"/>
          <w:b/>
          <w:sz w:val="44"/>
          <w:szCs w:val="44"/>
          <w:lang w:eastAsia="zh-CN"/>
        </w:rPr>
        <w:t>格</w:t>
      </w:r>
    </w:p>
    <w:p>
      <w:pPr>
        <w:snapToGrid w:val="0"/>
        <w:spacing w:line="360" w:lineRule="auto"/>
        <w:ind w:right="-447"/>
        <w:jc w:val="center"/>
        <w:rPr>
          <w:rFonts w:hint="eastAsia" w:ascii="宋体" w:hAnsi="宋体"/>
          <w:b/>
          <w:sz w:val="44"/>
          <w:szCs w:val="44"/>
          <w:lang w:eastAsia="zh-CN"/>
        </w:rPr>
      </w:pPr>
    </w:p>
    <w:p>
      <w:pPr>
        <w:snapToGrid w:val="0"/>
        <w:spacing w:line="360" w:lineRule="auto"/>
        <w:ind w:right="-447"/>
        <w:jc w:val="center"/>
        <w:rPr>
          <w:rFonts w:hint="eastAsia" w:ascii="宋体" w:hAnsi="宋体"/>
          <w:b/>
          <w:sz w:val="44"/>
          <w:szCs w:val="44"/>
          <w:lang w:eastAsia="zh-CN"/>
        </w:rPr>
      </w:pPr>
      <w:r>
        <w:rPr>
          <w:rFonts w:hint="eastAsia" w:ascii="宋体" w:hAnsi="宋体"/>
          <w:b/>
          <w:sz w:val="44"/>
          <w:szCs w:val="44"/>
          <w:lang w:eastAsia="zh-CN"/>
        </w:rPr>
        <w:t>书</w:t>
      </w:r>
    </w:p>
    <w:p>
      <w:pPr>
        <w:snapToGrid w:val="0"/>
        <w:spacing w:line="360" w:lineRule="auto"/>
        <w:ind w:right="-447"/>
        <w:jc w:val="center"/>
        <w:rPr>
          <w:rFonts w:hint="eastAsia" w:ascii="宋体" w:hAnsi="宋体"/>
          <w:b/>
          <w:sz w:val="36"/>
          <w:szCs w:val="48"/>
        </w:rPr>
      </w:pPr>
    </w:p>
    <w:p>
      <w:pPr>
        <w:spacing w:line="360" w:lineRule="auto"/>
        <w:ind w:firstLine="3791" w:firstLineChars="1049"/>
        <w:rPr>
          <w:rFonts w:hint="eastAsia" w:ascii="宋体" w:hAnsi="宋体"/>
          <w:b/>
          <w:sz w:val="36"/>
          <w:szCs w:val="36"/>
        </w:rPr>
      </w:pPr>
    </w:p>
    <w:p>
      <w:pPr>
        <w:snapToGrid w:val="0"/>
        <w:spacing w:line="360" w:lineRule="auto"/>
        <w:ind w:right="-447"/>
        <w:jc w:val="center"/>
        <w:rPr>
          <w:rFonts w:hint="eastAsia" w:ascii="宋体" w:hAnsi="宋体"/>
          <w:b/>
          <w:sz w:val="36"/>
          <w:szCs w:val="48"/>
        </w:rPr>
      </w:pPr>
    </w:p>
    <w:p>
      <w:pPr>
        <w:snapToGrid w:val="0"/>
        <w:spacing w:line="360" w:lineRule="auto"/>
        <w:ind w:right="-447"/>
        <w:jc w:val="center"/>
        <w:rPr>
          <w:rFonts w:hint="eastAsia" w:ascii="宋体" w:hAnsi="宋体"/>
          <w:b/>
          <w:sz w:val="36"/>
          <w:szCs w:val="48"/>
        </w:rPr>
      </w:pPr>
    </w:p>
    <w:p>
      <w:pPr>
        <w:snapToGrid w:val="0"/>
        <w:spacing w:line="360" w:lineRule="auto"/>
        <w:ind w:right="-447"/>
        <w:jc w:val="center"/>
        <w:rPr>
          <w:rFonts w:hint="eastAsia" w:ascii="宋体" w:hAnsi="宋体"/>
          <w:b/>
          <w:sz w:val="36"/>
          <w:szCs w:val="48"/>
        </w:rPr>
      </w:pPr>
    </w:p>
    <w:p>
      <w:pPr>
        <w:spacing w:line="360" w:lineRule="auto"/>
        <w:ind w:firstLine="3791" w:firstLineChars="1049"/>
        <w:rPr>
          <w:rFonts w:hint="eastAsia" w:ascii="宋体" w:hAnsi="宋体"/>
          <w:b/>
          <w:sz w:val="36"/>
          <w:szCs w:val="36"/>
        </w:rPr>
      </w:pPr>
    </w:p>
    <w:p>
      <w:pPr>
        <w:spacing w:line="360" w:lineRule="auto"/>
        <w:ind w:firstLine="3791" w:firstLineChars="1049"/>
        <w:rPr>
          <w:rFonts w:hint="eastAsia" w:ascii="宋体" w:hAnsi="宋体"/>
          <w:b/>
          <w:sz w:val="36"/>
          <w:szCs w:val="36"/>
        </w:rPr>
      </w:pPr>
    </w:p>
    <w:p>
      <w:pPr>
        <w:spacing w:line="360" w:lineRule="auto"/>
        <w:ind w:firstLine="3791" w:firstLineChars="1049"/>
        <w:rPr>
          <w:rFonts w:hint="eastAsia" w:ascii="宋体" w:hAnsi="宋体"/>
          <w:b/>
          <w:sz w:val="36"/>
          <w:szCs w:val="36"/>
        </w:rPr>
      </w:pPr>
      <w:r>
        <w:rPr>
          <w:rFonts w:hint="eastAsia" w:ascii="宋体" w:hAnsi="宋体"/>
          <w:b/>
          <w:sz w:val="36"/>
          <w:szCs w:val="36"/>
        </w:rPr>
        <w:t>目    录</w:t>
      </w:r>
    </w:p>
    <w:p>
      <w:pPr>
        <w:spacing w:line="360" w:lineRule="auto"/>
        <w:ind w:firstLine="3791" w:firstLineChars="1049"/>
        <w:rPr>
          <w:rFonts w:hint="eastAsia" w:ascii="宋体" w:hAnsi="宋体"/>
          <w:b/>
          <w:sz w:val="36"/>
          <w:szCs w:val="36"/>
        </w:rPr>
      </w:pP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附件一    总则</w:t>
      </w: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附件二    技术参数及制造要求</w:t>
      </w:r>
    </w:p>
    <w:p>
      <w:pPr>
        <w:tabs>
          <w:tab w:val="left" w:pos="0"/>
          <w:tab w:val="left" w:pos="900"/>
          <w:tab w:val="left" w:pos="1080"/>
        </w:tabs>
        <w:spacing w:before="100" w:beforeAutospacing="1" w:after="100" w:afterAutospacing="1" w:line="480" w:lineRule="auto"/>
        <w:ind w:firstLine="2530" w:firstLineChars="900"/>
        <w:rPr>
          <w:rFonts w:hint="eastAsia" w:ascii="宋体" w:hAnsi="宋体" w:eastAsia="宋体" w:cs="Times New Roman"/>
          <w:b/>
          <w:sz w:val="28"/>
          <w:szCs w:val="28"/>
        </w:rPr>
      </w:pPr>
      <w:r>
        <w:rPr>
          <w:rFonts w:hint="eastAsia" w:ascii="宋体" w:hAnsi="宋体" w:eastAsia="宋体" w:cs="Times New Roman"/>
          <w:b/>
          <w:sz w:val="28"/>
          <w:szCs w:val="28"/>
        </w:rPr>
        <w:t>附件三    系统设施供货范围</w:t>
      </w:r>
    </w:p>
    <w:p>
      <w:pPr>
        <w:tabs>
          <w:tab w:val="left" w:pos="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附件四    提供资料</w:t>
      </w: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附件五    售后服务</w:t>
      </w:r>
    </w:p>
    <w:p>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附件六    交货时间及地点</w:t>
      </w:r>
    </w:p>
    <w:p>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附件七    其它</w:t>
      </w:r>
    </w:p>
    <w:p>
      <w:pPr>
        <w:tabs>
          <w:tab w:val="left" w:pos="0"/>
          <w:tab w:val="left" w:pos="720"/>
          <w:tab w:val="left" w:pos="900"/>
          <w:tab w:val="left" w:pos="1080"/>
        </w:tabs>
        <w:spacing w:before="100" w:beforeAutospacing="1" w:after="100" w:afterAutospacing="1" w:line="480" w:lineRule="auto"/>
        <w:ind w:firstLine="2530" w:firstLineChars="900"/>
        <w:rPr>
          <w:rFonts w:hint="default" w:ascii="宋体" w:hAnsi="宋体" w:eastAsia="宋体"/>
          <w:b/>
          <w:sz w:val="28"/>
          <w:szCs w:val="28"/>
          <w:lang w:val="en-US" w:eastAsia="zh-CN"/>
        </w:rPr>
      </w:pPr>
      <w:r>
        <w:rPr>
          <w:rFonts w:hint="eastAsia" w:ascii="宋体" w:hAnsi="宋体"/>
          <w:b/>
          <w:sz w:val="28"/>
          <w:szCs w:val="28"/>
          <w:lang w:val="en-US" w:eastAsia="zh-CN"/>
        </w:rPr>
        <w:t>附件八    订货图</w:t>
      </w: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tabs>
          <w:tab w:val="left" w:pos="1080"/>
        </w:tabs>
        <w:spacing w:line="360" w:lineRule="auto"/>
        <w:ind w:firstLine="525" w:firstLineChars="250"/>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甘肃酒钢集团宏兴钢铁股份有限公司</w:t>
      </w:r>
      <w:r>
        <w:rPr>
          <w:rFonts w:hint="eastAsia" w:ascii="宋体" w:hAnsi="宋体" w:eastAsia="宋体" w:cs="Times New Roman"/>
          <w:sz w:val="21"/>
          <w:szCs w:val="21"/>
        </w:rPr>
        <w:t>（以下称甲方）与***（以下称乙方）就</w:t>
      </w:r>
      <w:r>
        <w:rPr>
          <w:rFonts w:hint="eastAsia" w:ascii="宋体" w:hAnsi="宋体" w:eastAsia="宋体" w:cs="Times New Roman"/>
          <w:sz w:val="21"/>
          <w:szCs w:val="21"/>
          <w:lang w:eastAsia="zh-CN"/>
        </w:rPr>
        <w:t>宏博新材料公司</w:t>
      </w:r>
      <w:r>
        <w:rPr>
          <w:rFonts w:hint="eastAsia" w:ascii="宋体" w:hAnsi="宋体" w:eastAsia="宋体" w:cs="Times New Roman"/>
          <w:sz w:val="21"/>
          <w:szCs w:val="21"/>
          <w:lang w:val="en-US" w:eastAsia="zh-CN"/>
        </w:rPr>
        <w:t>转炉副枪小车采</w:t>
      </w:r>
      <w:r>
        <w:rPr>
          <w:rFonts w:hint="eastAsia" w:ascii="宋体" w:hAnsi="宋体" w:eastAsia="宋体" w:cs="Times New Roman"/>
          <w:sz w:val="21"/>
          <w:szCs w:val="21"/>
        </w:rPr>
        <w:t>购及到货使用达成以下技术</w:t>
      </w:r>
      <w:r>
        <w:rPr>
          <w:rFonts w:hint="eastAsia" w:ascii="宋体" w:hAnsi="宋体" w:eastAsia="宋体" w:cs="Times New Roman"/>
          <w:sz w:val="21"/>
          <w:szCs w:val="21"/>
          <w:lang w:eastAsia="zh-CN"/>
        </w:rPr>
        <w:t>规格要求：</w:t>
      </w:r>
    </w:p>
    <w:p>
      <w:pPr>
        <w:spacing w:line="360" w:lineRule="auto"/>
        <w:rPr>
          <w:rFonts w:hint="eastAsia" w:ascii="宋体" w:hAnsi="宋体"/>
          <w:b/>
          <w:sz w:val="21"/>
          <w:szCs w:val="21"/>
        </w:rPr>
      </w:pPr>
      <w:r>
        <w:rPr>
          <w:rFonts w:hint="eastAsia" w:ascii="宋体" w:hAnsi="宋体"/>
          <w:b/>
          <w:sz w:val="21"/>
          <w:szCs w:val="21"/>
        </w:rPr>
        <w:t>附件一  总则</w:t>
      </w:r>
    </w:p>
    <w:p>
      <w:pPr>
        <w:tabs>
          <w:tab w:val="left" w:pos="1080"/>
        </w:tabs>
        <w:spacing w:line="360" w:lineRule="auto"/>
        <w:ind w:firstLine="525" w:firstLineChars="250"/>
        <w:rPr>
          <w:rFonts w:hint="eastAsia" w:ascii="宋体" w:hAnsi="宋体"/>
          <w:sz w:val="21"/>
          <w:szCs w:val="21"/>
        </w:rPr>
      </w:pPr>
      <w:r>
        <w:rPr>
          <w:rFonts w:hint="eastAsia" w:ascii="宋体" w:hAnsi="宋体"/>
          <w:sz w:val="21"/>
          <w:szCs w:val="21"/>
        </w:rPr>
        <w:t>本</w:t>
      </w:r>
      <w:r>
        <w:rPr>
          <w:rFonts w:hint="eastAsia" w:ascii="宋体" w:hAnsi="宋体"/>
          <w:sz w:val="21"/>
          <w:szCs w:val="21"/>
          <w:lang w:eastAsia="zh-CN"/>
        </w:rPr>
        <w:t>技术规格书</w:t>
      </w:r>
      <w:r>
        <w:rPr>
          <w:rFonts w:hint="eastAsia" w:ascii="宋体" w:hAnsi="宋体"/>
          <w:sz w:val="21"/>
          <w:szCs w:val="21"/>
        </w:rPr>
        <w:t>作为甲方设备订货合同的附件，与订货合同同时生效，具有同等法律效力。合同执行期间双方再协商形成的补充协议和追加条款也具有同等法律效力。</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sz w:val="21"/>
          <w:szCs w:val="21"/>
        </w:rPr>
      </w:pPr>
      <w:r>
        <w:rPr>
          <w:rFonts w:hint="eastAsia" w:ascii="宋体" w:hAnsi="宋体"/>
          <w:sz w:val="21"/>
          <w:szCs w:val="21"/>
        </w:rPr>
        <w:t>本</w:t>
      </w:r>
      <w:r>
        <w:rPr>
          <w:rFonts w:hint="eastAsia" w:ascii="宋体" w:hAnsi="宋体"/>
          <w:sz w:val="21"/>
          <w:szCs w:val="21"/>
          <w:lang w:eastAsia="zh-CN"/>
        </w:rPr>
        <w:t>技术规格书</w:t>
      </w:r>
      <w:r>
        <w:rPr>
          <w:rFonts w:hint="eastAsia" w:ascii="宋体" w:hAnsi="宋体"/>
          <w:sz w:val="21"/>
          <w:szCs w:val="21"/>
        </w:rPr>
        <w:t>所提出的是最低标准的技术要求，并未对一切技术细节做出规定，也未充分引述有关标准和规范的条文，乙方应保证提供符合有关标准和技术文件的优质产品。</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sz w:val="21"/>
          <w:szCs w:val="21"/>
        </w:rPr>
      </w:pPr>
      <w:r>
        <w:rPr>
          <w:rFonts w:hint="eastAsia" w:ascii="宋体" w:hAnsi="宋体"/>
          <w:sz w:val="21"/>
          <w:szCs w:val="21"/>
        </w:rPr>
        <w:t>乙方提供的设备必须具有国内同行业近几年内的先进制造水平，采用先进工艺，合格材料，成熟的技术或专利技术。</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rPr>
        <w:t>乙方提供的设备必须是全新、规范、先进的高质量可靠产品，能够确保连续稳定的工作。</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rPr>
        <w:t>乙方提供的设备</w:t>
      </w:r>
      <w:r>
        <w:rPr>
          <w:rFonts w:hint="eastAsia" w:ascii="宋体" w:hAnsi="宋体" w:eastAsia="宋体" w:cs="Times New Roman"/>
          <w:sz w:val="21"/>
          <w:szCs w:val="21"/>
          <w:lang w:eastAsia="zh-CN"/>
        </w:rPr>
        <w:t>及备件</w:t>
      </w:r>
      <w:r>
        <w:rPr>
          <w:rFonts w:hint="eastAsia" w:ascii="宋体" w:hAnsi="宋体" w:eastAsia="宋体" w:cs="Times New Roman"/>
          <w:sz w:val="21"/>
          <w:szCs w:val="21"/>
        </w:rPr>
        <w:t>必须具备相应</w:t>
      </w:r>
      <w:r>
        <w:rPr>
          <w:rFonts w:hint="eastAsia" w:ascii="宋体" w:hAnsi="宋体" w:eastAsia="宋体" w:cs="Times New Roman"/>
          <w:sz w:val="21"/>
          <w:szCs w:val="21"/>
          <w:lang w:val="en-US" w:eastAsia="zh-CN"/>
        </w:rPr>
        <w:t>设计制造</w:t>
      </w:r>
      <w:r>
        <w:rPr>
          <w:rFonts w:hint="eastAsia" w:ascii="宋体" w:hAnsi="宋体" w:eastAsia="宋体" w:cs="Times New Roman"/>
          <w:sz w:val="21"/>
          <w:szCs w:val="21"/>
        </w:rPr>
        <w:t>资质，在同类钢厂</w:t>
      </w:r>
      <w:r>
        <w:rPr>
          <w:rFonts w:hint="eastAsia" w:ascii="宋体" w:hAnsi="宋体" w:eastAsia="宋体" w:cs="Times New Roman"/>
          <w:sz w:val="21"/>
          <w:szCs w:val="21"/>
          <w:lang w:val="en-US" w:eastAsia="zh-CN"/>
        </w:rPr>
        <w:t>转炉副枪设备</w:t>
      </w:r>
      <w:r>
        <w:rPr>
          <w:rFonts w:hint="eastAsia" w:ascii="宋体" w:hAnsi="宋体" w:eastAsia="宋体" w:cs="Times New Roman"/>
          <w:sz w:val="21"/>
          <w:szCs w:val="21"/>
          <w:lang w:eastAsia="zh-CN"/>
        </w:rPr>
        <w:t>使用不少于</w:t>
      </w:r>
      <w:r>
        <w:rPr>
          <w:rFonts w:hint="eastAsia" w:ascii="宋体" w:hAnsi="宋体" w:eastAsia="宋体" w:cs="Times New Roman"/>
          <w:sz w:val="21"/>
          <w:szCs w:val="21"/>
          <w:lang w:val="en-US" w:eastAsia="zh-CN"/>
        </w:rPr>
        <w:t>5家</w:t>
      </w:r>
      <w:r>
        <w:rPr>
          <w:rFonts w:hint="eastAsia" w:ascii="宋体" w:hAnsi="宋体" w:eastAsia="宋体" w:cs="Times New Roman"/>
          <w:sz w:val="21"/>
          <w:szCs w:val="21"/>
        </w:rPr>
        <w:t>，连续供货</w:t>
      </w: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年以上</w:t>
      </w:r>
      <w:r>
        <w:rPr>
          <w:rFonts w:hint="eastAsia" w:ascii="宋体" w:hAnsi="宋体" w:eastAsia="宋体" w:cs="Times New Roman"/>
          <w:sz w:val="21"/>
          <w:szCs w:val="21"/>
          <w:lang w:eastAsia="zh-CN"/>
        </w:rPr>
        <w:t>，能够完全满足现场使用要求，</w:t>
      </w:r>
      <w:r>
        <w:rPr>
          <w:rFonts w:hint="eastAsia" w:ascii="宋体" w:hAnsi="宋体" w:eastAsia="宋体" w:cs="Times New Roman"/>
          <w:sz w:val="21"/>
          <w:szCs w:val="21"/>
        </w:rPr>
        <w:t>且未出现过任何安全和质量问题。</w:t>
      </w:r>
    </w:p>
    <w:p>
      <w:pPr>
        <w:numPr>
          <w:ilvl w:val="0"/>
          <w:numId w:val="1"/>
        </w:numPr>
        <w:tabs>
          <w:tab w:val="left" w:pos="540"/>
          <w:tab w:val="left" w:pos="720"/>
          <w:tab w:val="left" w:pos="1080"/>
        </w:tabs>
        <w:adjustRightInd/>
        <w:spacing w:line="360" w:lineRule="auto"/>
        <w:ind w:firstLine="525" w:firstLineChars="250"/>
        <w:jc w:val="both"/>
        <w:rPr>
          <w:rFonts w:hint="default" w:ascii="宋体" w:hAnsi="宋体" w:eastAsia="宋体" w:cs="Times New Roman"/>
          <w:sz w:val="21"/>
          <w:szCs w:val="21"/>
          <w:lang w:val="en-US" w:eastAsia="zh-CN"/>
        </w:rPr>
      </w:pPr>
      <w:r>
        <w:rPr>
          <w:rFonts w:hint="eastAsia" w:ascii="宋体" w:hAnsi="宋体" w:eastAsia="宋体" w:cs="Times New Roman"/>
          <w:sz w:val="21"/>
          <w:szCs w:val="21"/>
        </w:rPr>
        <w:t>乙方提供货物的制造，材料的选择，都应按照国内外通用的现行标准和相应的技术规范执行，而这些标准和技术规范应为合同签字日为止最新公布发问的标准和技术规范。</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rPr>
        <w:t>乙方须对本设备设计的完整性、合理性和设计质量承担全部责任。保证设备、</w:t>
      </w:r>
      <w:r>
        <w:rPr>
          <w:rFonts w:hint="eastAsia" w:ascii="宋体" w:hAnsi="宋体" w:eastAsia="宋体" w:cs="Times New Roman"/>
          <w:sz w:val="21"/>
          <w:szCs w:val="21"/>
          <w:lang w:val="en-US" w:eastAsia="zh-CN"/>
        </w:rPr>
        <w:t>零部件</w:t>
      </w:r>
      <w:r>
        <w:rPr>
          <w:rFonts w:hint="eastAsia" w:ascii="宋体" w:hAnsi="宋体" w:eastAsia="宋体" w:cs="Times New Roman"/>
          <w:sz w:val="21"/>
          <w:szCs w:val="21"/>
        </w:rPr>
        <w:t>等设计满足现场工艺要求。</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rPr>
        <w:t>乙方在合同货物制造中，发生侵犯专利的行为时其侵权责任与甲方无关。</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lang w:val="en-US" w:eastAsia="zh-CN"/>
        </w:rPr>
        <w:t>乙方应提供交货期之前一年之内生产的正规渠道供货的原厂正品货物。</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lang w:val="en-US" w:eastAsia="zh-CN"/>
        </w:rPr>
        <w:t>若</w:t>
      </w:r>
      <w:r>
        <w:rPr>
          <w:rFonts w:hint="eastAsia" w:ascii="宋体" w:hAnsi="宋体" w:eastAsia="宋体" w:cs="Times New Roman"/>
          <w:sz w:val="21"/>
          <w:szCs w:val="21"/>
        </w:rPr>
        <w:t>乙方</w:t>
      </w:r>
      <w:r>
        <w:rPr>
          <w:rFonts w:hint="eastAsia" w:ascii="宋体" w:hAnsi="宋体" w:eastAsia="宋体" w:cs="Times New Roman"/>
          <w:sz w:val="21"/>
          <w:szCs w:val="21"/>
          <w:lang w:val="en-US" w:eastAsia="zh-CN"/>
        </w:rPr>
        <w:t>不能中标，则本技术规格书自动失效，双方互不承担任何责任。</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宋体"/>
          <w:kern w:val="0"/>
          <w:sz w:val="21"/>
          <w:szCs w:val="21"/>
          <w:lang w:val="en-US" w:eastAsia="zh-CN" w:bidi="ar"/>
        </w:rPr>
        <w:t>本协议内容经由甲乙双方于2026年  月  日通过电话方式商定。</w:t>
      </w:r>
    </w:p>
    <w:p>
      <w:pPr>
        <w:numPr>
          <w:ilvl w:val="0"/>
          <w:numId w:val="1"/>
        </w:num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宋体"/>
          <w:kern w:val="0"/>
          <w:sz w:val="21"/>
          <w:szCs w:val="21"/>
          <w:lang w:val="en-US" w:eastAsia="zh-CN" w:bidi="ar"/>
        </w:rPr>
        <w:t>甲乙双方应当就签订本协议的相关事宜保密，不得将签订主体、时间、内容等信息透露给其他第三人。</w:t>
      </w:r>
    </w:p>
    <w:p>
      <w:pPr>
        <w:numPr>
          <w:ilvl w:val="0"/>
          <w:numId w:val="1"/>
        </w:numPr>
        <w:tabs>
          <w:tab w:val="left" w:pos="540"/>
          <w:tab w:val="left" w:pos="720"/>
          <w:tab w:val="left" w:pos="1080"/>
        </w:tabs>
        <w:adjustRightInd/>
        <w:spacing w:line="360" w:lineRule="auto"/>
        <w:ind w:firstLine="525" w:firstLineChars="250"/>
        <w:jc w:val="both"/>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本技术规格书为附生效条件的合同，以主合同的生效为前提条件。</w:t>
      </w:r>
    </w:p>
    <w:p>
      <w:pPr>
        <w:spacing w:line="360" w:lineRule="auto"/>
        <w:rPr>
          <w:rFonts w:hint="eastAsia" w:ascii="宋体" w:hAnsi="宋体"/>
          <w:b/>
          <w:sz w:val="21"/>
          <w:szCs w:val="21"/>
        </w:rPr>
      </w:pPr>
      <w:r>
        <w:rPr>
          <w:rFonts w:hint="eastAsia" w:ascii="宋体" w:hAnsi="宋体"/>
          <w:b/>
          <w:sz w:val="21"/>
          <w:szCs w:val="21"/>
        </w:rPr>
        <w:t>附件二    技术参数及制造要求</w:t>
      </w:r>
    </w:p>
    <w:p>
      <w:pPr>
        <w:numPr>
          <w:ilvl w:val="1"/>
          <w:numId w:val="2"/>
        </w:numPr>
        <w:spacing w:line="360" w:lineRule="auto"/>
        <w:rPr>
          <w:rFonts w:hint="eastAsia" w:ascii="宋体" w:hAnsi="宋体" w:eastAsia="宋体" w:cs="Times New Roman"/>
          <w:sz w:val="21"/>
          <w:szCs w:val="21"/>
        </w:rPr>
      </w:pPr>
      <w:r>
        <w:rPr>
          <w:rFonts w:hint="eastAsia" w:ascii="宋体" w:hAnsi="宋体"/>
          <w:sz w:val="21"/>
          <w:szCs w:val="21"/>
          <w:lang w:eastAsia="zh-CN"/>
        </w:rPr>
        <w:t>升降小车必须配备防坠功能，且确保防坠有效。</w:t>
      </w:r>
    </w:p>
    <w:p>
      <w:pPr>
        <w:numPr>
          <w:ilvl w:val="1"/>
          <w:numId w:val="2"/>
        </w:numPr>
        <w:tabs>
          <w:tab w:val="left" w:pos="0"/>
          <w:tab w:val="left" w:pos="540"/>
          <w:tab w:val="left" w:pos="720"/>
          <w:tab w:val="left" w:pos="1080"/>
          <w:tab w:val="clear" w:pos="1050"/>
        </w:tabs>
        <w:adjustRightInd/>
        <w:spacing w:line="360" w:lineRule="auto"/>
        <w:ind w:left="1050" w:leftChars="0" w:hanging="525" w:firstLineChars="0"/>
        <w:jc w:val="both"/>
        <w:rPr>
          <w:rFonts w:hint="eastAsia" w:ascii="宋体" w:hAnsi="宋体" w:eastAsia="宋体" w:cs="宋体"/>
          <w:sz w:val="21"/>
          <w:szCs w:val="21"/>
          <w:lang w:val="en-US" w:eastAsia="zh-CN"/>
        </w:rPr>
      </w:pPr>
      <w:r>
        <w:rPr>
          <w:rFonts w:hint="eastAsia" w:ascii="宋体" w:hAnsi="宋体"/>
          <w:sz w:val="21"/>
          <w:szCs w:val="21"/>
          <w:lang w:val="en-US" w:eastAsia="zh-CN"/>
        </w:rPr>
        <w:t>升降小车滚轮出厂前需加注满3#锂基脂，转动灵活，每个滚轮均配备并安装铜制加油嘴。</w:t>
      </w:r>
    </w:p>
    <w:p>
      <w:pPr>
        <w:numPr>
          <w:ilvl w:val="1"/>
          <w:numId w:val="2"/>
        </w:numPr>
        <w:tabs>
          <w:tab w:val="left" w:pos="0"/>
          <w:tab w:val="left" w:pos="540"/>
          <w:tab w:val="left" w:pos="720"/>
          <w:tab w:val="left" w:pos="1080"/>
          <w:tab w:val="clear" w:pos="1050"/>
        </w:tabs>
        <w:adjustRightInd/>
        <w:spacing w:line="360" w:lineRule="auto"/>
        <w:ind w:left="1050" w:leftChars="0" w:hanging="525"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升降小车所有滚轮均可在线更换，小车的滚轮具备调节功能，可根据轨道的磨损情况前后调节，以确保滚轮能够贴合到轨道上。</w:t>
      </w:r>
    </w:p>
    <w:p>
      <w:pPr>
        <w:numPr>
          <w:ilvl w:val="0"/>
          <w:numId w:val="0"/>
        </w:numPr>
        <w:spacing w:line="360" w:lineRule="auto"/>
        <w:ind w:left="525"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  升降小车必须匹配现场当前使用的枪体、轨道、软管的安装尺寸。</w:t>
      </w:r>
    </w:p>
    <w:p>
      <w:pPr>
        <w:tabs>
          <w:tab w:val="left" w:pos="0"/>
          <w:tab w:val="left" w:pos="540"/>
          <w:tab w:val="left" w:pos="720"/>
          <w:tab w:val="left" w:pos="1080"/>
        </w:tabs>
        <w:adjustRightInd/>
        <w:spacing w:line="360" w:lineRule="auto"/>
        <w:ind w:firstLine="525" w:firstLineChars="250"/>
        <w:jc w:val="both"/>
        <w:rPr>
          <w:rFonts w:hint="eastAsia" w:ascii="楷体_GB2312" w:hAnsi="Arial" w:eastAsia="楷体_GB2312"/>
          <w:sz w:val="28"/>
          <w:szCs w:val="28"/>
          <w:lang w:val="sq-AL"/>
        </w:rPr>
      </w:pPr>
      <w:r>
        <w:rPr>
          <w:rFonts w:hint="eastAsia" w:ascii="宋体" w:hAnsi="宋体" w:eastAsia="宋体" w:cs="宋体"/>
          <w:sz w:val="21"/>
          <w:szCs w:val="21"/>
          <w:lang w:val="en-US" w:eastAsia="zh-CN"/>
        </w:rPr>
        <w:t>2.5  升降小车结构件采用Q355钢材。</w:t>
      </w:r>
    </w:p>
    <w:p>
      <w:pPr>
        <w:tabs>
          <w:tab w:val="left" w:pos="0"/>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lang w:val="en-US" w:eastAsia="zh-CN"/>
        </w:rPr>
      </w:pPr>
      <w:r>
        <w:rPr>
          <w:rFonts w:hint="eastAsia" w:ascii="宋体" w:hAnsi="宋体"/>
          <w:sz w:val="21"/>
          <w:szCs w:val="21"/>
          <w:lang w:val="en-US" w:eastAsia="zh-CN"/>
        </w:rPr>
        <w:t xml:space="preserve">2.6 </w:t>
      </w:r>
      <w:r>
        <w:rPr>
          <w:rFonts w:hint="eastAsia" w:ascii="宋体" w:hAnsi="宋体" w:eastAsia="宋体" w:cs="Times New Roman"/>
          <w:sz w:val="21"/>
          <w:szCs w:val="21"/>
          <w:lang w:val="en-US" w:eastAsia="zh-CN"/>
        </w:rPr>
        <w:t>定制化需求：本次采购的</w:t>
      </w:r>
      <w:r>
        <w:rPr>
          <w:rFonts w:hint="eastAsia" w:ascii="宋体" w:hAnsi="宋体" w:eastAsia="宋体"/>
          <w:sz w:val="21"/>
          <w:szCs w:val="21"/>
          <w:lang w:eastAsia="zh-CN"/>
        </w:rPr>
        <w:t>副枪小车</w:t>
      </w:r>
      <w:r>
        <w:rPr>
          <w:rFonts w:hint="eastAsia" w:ascii="宋体" w:hAnsi="宋体" w:eastAsia="宋体" w:cs="Times New Roman"/>
          <w:sz w:val="21"/>
          <w:szCs w:val="21"/>
          <w:lang w:val="en-US" w:eastAsia="zh-CN"/>
        </w:rPr>
        <w:t>为转炉副枪设备关键备件，属于冶炼设备A类备件，考虑到现场安装及使用需求，</w:t>
      </w:r>
      <w:r>
        <w:rPr>
          <w:rFonts w:hint="eastAsia" w:ascii="宋体" w:hAnsi="宋体"/>
          <w:sz w:val="21"/>
          <w:szCs w:val="21"/>
        </w:rPr>
        <w:t>乙方在获得采购合同后必须派专业技术人员到甲方现场确认实际尺寸后再加工，</w:t>
      </w:r>
      <w:r>
        <w:rPr>
          <w:rFonts w:hint="eastAsia" w:ascii="宋体" w:hAnsi="宋体"/>
          <w:sz w:val="21"/>
          <w:szCs w:val="21"/>
          <w:lang w:eastAsia="zh-CN"/>
        </w:rPr>
        <w:t>必须按照</w:t>
      </w:r>
      <w:r>
        <w:rPr>
          <w:rFonts w:hint="eastAsia" w:ascii="宋体" w:hAnsi="宋体"/>
          <w:sz w:val="21"/>
          <w:szCs w:val="21"/>
          <w:lang w:eastAsia="zh"/>
        </w:rPr>
        <w:t>现场实测尺寸</w:t>
      </w:r>
      <w:r>
        <w:rPr>
          <w:rFonts w:hint="eastAsia" w:ascii="宋体" w:hAnsi="宋体"/>
          <w:sz w:val="21"/>
          <w:szCs w:val="21"/>
          <w:lang w:eastAsia="zh-CN"/>
        </w:rPr>
        <w:t>加工</w:t>
      </w:r>
      <w:r>
        <w:rPr>
          <w:rFonts w:hint="eastAsia" w:ascii="宋体" w:hAnsi="宋体"/>
          <w:sz w:val="21"/>
          <w:szCs w:val="21"/>
          <w:lang w:eastAsia="zh"/>
        </w:rPr>
        <w:t>，甲方提供图纸仅为乙方报价提供参考</w:t>
      </w:r>
      <w:r>
        <w:rPr>
          <w:rFonts w:hint="eastAsia" w:ascii="宋体" w:hAnsi="宋体"/>
          <w:sz w:val="21"/>
          <w:szCs w:val="21"/>
          <w:lang w:eastAsia="zh-CN"/>
        </w:rPr>
        <w:t>，</w:t>
      </w:r>
      <w:r>
        <w:rPr>
          <w:rFonts w:hint="eastAsia" w:ascii="宋体" w:hAnsi="宋体"/>
          <w:sz w:val="21"/>
          <w:szCs w:val="21"/>
          <w:lang w:eastAsia="zh"/>
        </w:rPr>
        <w:t>该</w:t>
      </w:r>
      <w:r>
        <w:rPr>
          <w:rFonts w:hint="eastAsia" w:ascii="宋体" w:hAnsi="宋体"/>
          <w:sz w:val="21"/>
          <w:szCs w:val="21"/>
          <w:lang w:val="en-US" w:eastAsia="zh-CN"/>
        </w:rPr>
        <w:t>导向装置必须与现场同型号备件具备互换性，</w:t>
      </w:r>
      <w:r>
        <w:rPr>
          <w:rFonts w:hint="eastAsia" w:ascii="宋体" w:hAnsi="宋体"/>
          <w:sz w:val="21"/>
          <w:szCs w:val="21"/>
          <w:lang w:eastAsia="zh-CN"/>
        </w:rPr>
        <w:t>出厂前进行</w:t>
      </w:r>
      <w:r>
        <w:rPr>
          <w:rFonts w:hint="eastAsia" w:ascii="宋体" w:hAnsi="宋体"/>
          <w:sz w:val="21"/>
          <w:szCs w:val="21"/>
          <w:lang w:eastAsia="zh"/>
        </w:rPr>
        <w:t>试装</w:t>
      </w:r>
      <w:r>
        <w:rPr>
          <w:rFonts w:hint="eastAsia" w:ascii="宋体" w:hAnsi="宋体" w:eastAsia="宋体" w:cs="Times New Roman"/>
          <w:sz w:val="21"/>
          <w:szCs w:val="21"/>
          <w:lang w:val="en-US" w:eastAsia="zh-CN"/>
        </w:rPr>
        <w:t>。</w:t>
      </w:r>
    </w:p>
    <w:p>
      <w:pPr>
        <w:tabs>
          <w:tab w:val="left" w:pos="0"/>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2.7该备件以下厂家采购：（参照或相当于武汉方特工业设备技术有限公司等），确保备件质量及性能符合设计要求，供应商需提供原厂证明及质保承诺。</w:t>
      </w:r>
    </w:p>
    <w:p>
      <w:pPr>
        <w:spacing w:line="360" w:lineRule="auto"/>
        <w:rPr>
          <w:rFonts w:hint="eastAsia" w:ascii="宋体" w:hAnsi="宋体"/>
          <w:sz w:val="21"/>
          <w:szCs w:val="21"/>
        </w:rPr>
      </w:pPr>
      <w:r>
        <w:rPr>
          <w:rFonts w:hint="eastAsia" w:ascii="宋体" w:hAnsi="宋体"/>
          <w:b/>
          <w:sz w:val="21"/>
          <w:szCs w:val="21"/>
        </w:rPr>
        <w:t>附件</w:t>
      </w:r>
      <w:r>
        <w:rPr>
          <w:rFonts w:hint="eastAsia" w:ascii="宋体" w:hAnsi="宋体"/>
          <w:b/>
          <w:sz w:val="21"/>
          <w:szCs w:val="21"/>
          <w:lang w:eastAsia="zh-CN"/>
        </w:rPr>
        <w:t>三</w:t>
      </w:r>
      <w:r>
        <w:rPr>
          <w:rFonts w:hint="eastAsia" w:ascii="宋体" w:hAnsi="宋体"/>
          <w:b/>
          <w:sz w:val="21"/>
          <w:szCs w:val="21"/>
        </w:rPr>
        <w:t xml:space="preserve">  </w:t>
      </w:r>
      <w:r>
        <w:rPr>
          <w:rFonts w:hint="eastAsia" w:ascii="宋体" w:hAnsi="宋体" w:eastAsia="宋体" w:cs="Times New Roman"/>
          <w:b/>
          <w:sz w:val="21"/>
          <w:szCs w:val="21"/>
        </w:rPr>
        <w:t>系统设施供货范围</w:t>
      </w:r>
    </w:p>
    <w:tbl>
      <w:tblPr>
        <w:tblStyle w:val="5"/>
        <w:tblW w:w="8844" w:type="dxa"/>
        <w:tblInd w:w="93" w:type="dxa"/>
        <w:tblLayout w:type="fixed"/>
        <w:tblCellMar>
          <w:top w:w="0" w:type="dxa"/>
          <w:left w:w="108" w:type="dxa"/>
          <w:bottom w:w="0" w:type="dxa"/>
          <w:right w:w="108" w:type="dxa"/>
        </w:tblCellMar>
      </w:tblPr>
      <w:tblGrid>
        <w:gridCol w:w="2489"/>
        <w:gridCol w:w="703"/>
        <w:gridCol w:w="5652"/>
      </w:tblGrid>
      <w:tr>
        <w:tblPrEx>
          <w:tblLayout w:type="fixed"/>
          <w:tblCellMar>
            <w:top w:w="0" w:type="dxa"/>
            <w:left w:w="108" w:type="dxa"/>
            <w:bottom w:w="0" w:type="dxa"/>
            <w:right w:w="108" w:type="dxa"/>
          </w:tblCellMar>
        </w:tblPrEx>
        <w:trPr>
          <w:trHeight w:val="353" w:hRule="atLeast"/>
        </w:trPr>
        <w:tc>
          <w:tcPr>
            <w:tcW w:w="2489" w:type="dxa"/>
            <w:tcBorders>
              <w:top w:val="single" w:color="auto" w:sz="4" w:space="0"/>
              <w:left w:val="single" w:color="auto" w:sz="4" w:space="0"/>
              <w:bottom w:val="single" w:color="auto" w:sz="4" w:space="0"/>
              <w:right w:val="single" w:color="auto" w:sz="4" w:space="0"/>
            </w:tcBorders>
            <w:noWrap w:val="0"/>
            <w:vAlign w:val="top"/>
          </w:tcPr>
          <w:p>
            <w:pPr>
              <w:tabs>
                <w:tab w:val="left" w:pos="1134"/>
              </w:tabs>
              <w:spacing w:line="360" w:lineRule="auto"/>
              <w:jc w:val="center"/>
              <w:rPr>
                <w:rFonts w:hint="eastAsia" w:ascii="宋体" w:hAnsi="宋体"/>
                <w:kern w:val="0"/>
                <w:szCs w:val="21"/>
                <w:lang w:val="sq-AL"/>
              </w:rPr>
            </w:pPr>
            <w:r>
              <w:rPr>
                <w:rFonts w:hint="eastAsia" w:ascii="宋体" w:hAnsi="宋体"/>
                <w:kern w:val="0"/>
                <w:szCs w:val="21"/>
                <w:lang w:val="sq-AL"/>
              </w:rPr>
              <w:t>备件名称</w:t>
            </w:r>
          </w:p>
        </w:tc>
        <w:tc>
          <w:tcPr>
            <w:tcW w:w="703" w:type="dxa"/>
            <w:tcBorders>
              <w:top w:val="single" w:color="auto" w:sz="4" w:space="0"/>
              <w:left w:val="single" w:color="auto" w:sz="4" w:space="0"/>
              <w:bottom w:val="single" w:color="auto" w:sz="4" w:space="0"/>
              <w:right w:val="single" w:color="auto" w:sz="4" w:space="0"/>
            </w:tcBorders>
            <w:noWrap w:val="0"/>
            <w:vAlign w:val="top"/>
          </w:tcPr>
          <w:p>
            <w:pPr>
              <w:tabs>
                <w:tab w:val="left" w:pos="1134"/>
              </w:tabs>
              <w:spacing w:line="360" w:lineRule="auto"/>
              <w:jc w:val="center"/>
              <w:rPr>
                <w:rFonts w:hint="eastAsia" w:ascii="宋体" w:hAnsi="宋体"/>
                <w:kern w:val="0"/>
                <w:szCs w:val="21"/>
                <w:lang w:val="sq-AL"/>
              </w:rPr>
            </w:pPr>
            <w:r>
              <w:rPr>
                <w:rFonts w:hint="eastAsia" w:ascii="宋体" w:hAnsi="宋体"/>
                <w:kern w:val="0"/>
                <w:szCs w:val="21"/>
                <w:lang w:val="sq-AL"/>
              </w:rPr>
              <w:t>数量</w:t>
            </w:r>
          </w:p>
        </w:tc>
        <w:tc>
          <w:tcPr>
            <w:tcW w:w="5652" w:type="dxa"/>
            <w:tcBorders>
              <w:top w:val="single" w:color="auto" w:sz="4" w:space="0"/>
              <w:left w:val="single" w:color="auto" w:sz="4" w:space="0"/>
              <w:bottom w:val="single" w:color="auto" w:sz="4" w:space="0"/>
              <w:right w:val="single" w:color="auto" w:sz="4" w:space="0"/>
            </w:tcBorders>
            <w:noWrap w:val="0"/>
            <w:vAlign w:val="top"/>
          </w:tcPr>
          <w:p>
            <w:pPr>
              <w:tabs>
                <w:tab w:val="left" w:pos="1134"/>
              </w:tabs>
              <w:spacing w:line="360" w:lineRule="auto"/>
              <w:jc w:val="center"/>
              <w:rPr>
                <w:rFonts w:hint="eastAsia" w:ascii="宋体" w:hAnsi="宋体"/>
                <w:kern w:val="0"/>
                <w:szCs w:val="21"/>
                <w:lang w:val="sq-AL"/>
              </w:rPr>
            </w:pPr>
            <w:r>
              <w:rPr>
                <w:rFonts w:hint="eastAsia" w:ascii="宋体" w:hAnsi="宋体"/>
                <w:kern w:val="0"/>
                <w:szCs w:val="21"/>
                <w:lang w:val="sq-AL"/>
              </w:rPr>
              <w:t>备件清单</w:t>
            </w:r>
          </w:p>
        </w:tc>
      </w:tr>
      <w:tr>
        <w:tblPrEx>
          <w:tblLayout w:type="fixed"/>
          <w:tblCellMar>
            <w:top w:w="0" w:type="dxa"/>
            <w:left w:w="108" w:type="dxa"/>
            <w:bottom w:w="0" w:type="dxa"/>
            <w:right w:w="108" w:type="dxa"/>
          </w:tblCellMar>
        </w:tblPrEx>
        <w:trPr>
          <w:trHeight w:val="102" w:hRule="atLeast"/>
        </w:trPr>
        <w:tc>
          <w:tcPr>
            <w:tcW w:w="2489" w:type="dxa"/>
            <w:tcBorders>
              <w:top w:val="single" w:color="auto" w:sz="4" w:space="0"/>
              <w:left w:val="single" w:color="auto" w:sz="4" w:space="0"/>
              <w:bottom w:val="single" w:color="auto" w:sz="4" w:space="0"/>
              <w:right w:val="single" w:color="auto" w:sz="4" w:space="0"/>
            </w:tcBorders>
            <w:noWrap w:val="0"/>
            <w:vAlign w:val="top"/>
          </w:tcPr>
          <w:p>
            <w:pPr>
              <w:tabs>
                <w:tab w:val="left" w:pos="1134"/>
              </w:tabs>
              <w:spacing w:line="240" w:lineRule="auto"/>
              <w:jc w:val="left"/>
              <w:rPr>
                <w:rFonts w:hint="default" w:ascii="宋体" w:hAnsi="宋体"/>
                <w:kern w:val="0"/>
                <w:szCs w:val="21"/>
                <w:lang w:val="en-US"/>
              </w:rPr>
            </w:pPr>
            <w:r>
              <w:rPr>
                <w:rFonts w:hint="eastAsia" w:ascii="宋体" w:hAnsi="宋体" w:eastAsia="宋体" w:cs="Times New Roman"/>
                <w:sz w:val="21"/>
                <w:szCs w:val="21"/>
              </w:rPr>
              <w:t>副枪小车\总成 FT/FQ-2401-04 转炉副枪装置</w:t>
            </w:r>
            <w:r>
              <w:rPr>
                <w:rFonts w:hint="eastAsia" w:ascii="宋体" w:hAnsi="宋体" w:eastAsia="宋体" w:cs="Times New Roman"/>
                <w:sz w:val="21"/>
                <w:szCs w:val="21"/>
                <w:lang w:val="en-US" w:eastAsia="zh-CN"/>
              </w:rPr>
              <w:t xml:space="preserve">    </w:t>
            </w:r>
          </w:p>
        </w:tc>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kern w:val="0"/>
                <w:szCs w:val="21"/>
                <w:lang w:val="en-US" w:eastAsia="zh-CN"/>
              </w:rPr>
            </w:pPr>
            <w:r>
              <w:rPr>
                <w:rFonts w:hint="eastAsia" w:ascii="宋体" w:hAnsi="宋体" w:eastAsia="宋体" w:cs="Times New Roman"/>
                <w:sz w:val="21"/>
                <w:szCs w:val="21"/>
                <w:lang w:val="en-US" w:eastAsia="zh-CN"/>
              </w:rPr>
              <w:t>1套</w:t>
            </w:r>
          </w:p>
        </w:tc>
        <w:tc>
          <w:tcPr>
            <w:tcW w:w="5652" w:type="dxa"/>
            <w:tcBorders>
              <w:top w:val="single" w:color="auto" w:sz="4" w:space="0"/>
              <w:left w:val="single" w:color="auto" w:sz="4" w:space="0"/>
              <w:bottom w:val="single" w:color="auto" w:sz="4" w:space="0"/>
              <w:right w:val="single" w:color="auto" w:sz="4" w:space="0"/>
            </w:tcBorders>
            <w:noWrap w:val="0"/>
            <w:vAlign w:val="top"/>
          </w:tcPr>
          <w:p>
            <w:pPr>
              <w:tabs>
                <w:tab w:val="left" w:pos="1134"/>
              </w:tabs>
              <w:spacing w:line="360" w:lineRule="auto"/>
              <w:jc w:val="both"/>
              <w:rPr>
                <w:rFonts w:hint="eastAsia" w:ascii="宋体" w:hAnsi="宋体" w:eastAsia="宋体" w:cs="Times New Roman"/>
                <w:sz w:val="21"/>
                <w:szCs w:val="21"/>
                <w:lang w:val="sq-AL" w:eastAsia="zh-CN"/>
              </w:rPr>
            </w:pPr>
            <w:r>
              <w:rPr>
                <w:rFonts w:hint="eastAsia" w:ascii="宋体" w:hAnsi="宋体" w:eastAsia="宋体" w:cs="Times New Roman"/>
                <w:sz w:val="21"/>
                <w:szCs w:val="21"/>
                <w:lang w:val="en-US" w:eastAsia="zh-CN"/>
              </w:rPr>
              <w:t>副枪小车总成</w:t>
            </w:r>
          </w:p>
        </w:tc>
      </w:tr>
    </w:tbl>
    <w:p>
      <w:pPr>
        <w:spacing w:line="360" w:lineRule="auto"/>
        <w:rPr>
          <w:rFonts w:hint="eastAsia" w:ascii="宋体" w:hAnsi="宋体"/>
          <w:color w:val="000000"/>
          <w:sz w:val="21"/>
          <w:szCs w:val="21"/>
        </w:rPr>
      </w:pPr>
      <w:r>
        <w:rPr>
          <w:rFonts w:hint="eastAsia" w:ascii="宋体" w:hAnsi="宋体"/>
          <w:b/>
          <w:sz w:val="21"/>
          <w:szCs w:val="21"/>
        </w:rPr>
        <w:t>附件四 提供资料</w:t>
      </w:r>
    </w:p>
    <w:p>
      <w:p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rPr>
        <w:t>4.1 产品出厂时乙方需提供产品</w:t>
      </w:r>
      <w:r>
        <w:rPr>
          <w:rFonts w:hint="eastAsia" w:ascii="宋体" w:hAnsi="宋体" w:eastAsia="宋体" w:cs="Times New Roman"/>
          <w:sz w:val="21"/>
          <w:szCs w:val="21"/>
          <w:lang w:eastAsia="zh-CN"/>
        </w:rPr>
        <w:t>检验</w:t>
      </w:r>
      <w:r>
        <w:rPr>
          <w:rFonts w:hint="eastAsia" w:ascii="宋体" w:hAnsi="宋体" w:eastAsia="宋体" w:cs="Times New Roman"/>
          <w:sz w:val="21"/>
          <w:szCs w:val="21"/>
        </w:rPr>
        <w:t>合格证。</w:t>
      </w:r>
    </w:p>
    <w:p>
      <w:p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lang w:val="en-US" w:eastAsia="zh-CN"/>
        </w:rPr>
        <w:t xml:space="preserve">4.2 </w:t>
      </w:r>
      <w:r>
        <w:rPr>
          <w:rFonts w:hint="eastAsia" w:ascii="宋体" w:hAnsi="宋体" w:eastAsia="宋体" w:cs="Times New Roman"/>
          <w:sz w:val="21"/>
          <w:szCs w:val="21"/>
        </w:rPr>
        <w:t>产品出厂时乙方需提供</w:t>
      </w:r>
      <w:r>
        <w:rPr>
          <w:rFonts w:hint="eastAsia" w:ascii="宋体" w:hAnsi="宋体" w:eastAsia="宋体" w:cs="Times New Roman"/>
          <w:sz w:val="21"/>
          <w:szCs w:val="21"/>
          <w:lang w:eastAsia="zh-CN"/>
        </w:rPr>
        <w:t>材质化</w:t>
      </w:r>
      <w:r>
        <w:rPr>
          <w:rFonts w:hint="eastAsia" w:ascii="宋体" w:hAnsi="宋体" w:eastAsia="宋体" w:cs="Times New Roman"/>
          <w:sz w:val="21"/>
          <w:szCs w:val="21"/>
        </w:rPr>
        <w:t>验报告。</w:t>
      </w:r>
    </w:p>
    <w:p>
      <w:pPr>
        <w:tabs>
          <w:tab w:val="left" w:pos="540"/>
          <w:tab w:val="left" w:pos="720"/>
          <w:tab w:val="left" w:pos="1080"/>
        </w:tabs>
        <w:adjustRightInd/>
        <w:spacing w:line="360" w:lineRule="auto"/>
        <w:ind w:firstLine="525" w:firstLineChars="250"/>
        <w:jc w:val="both"/>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 xml:space="preserve">4.3 </w:t>
      </w:r>
      <w:r>
        <w:rPr>
          <w:rFonts w:hint="eastAsia" w:ascii="宋体" w:hAnsi="宋体" w:eastAsia="宋体" w:cs="Times New Roman"/>
          <w:sz w:val="21"/>
          <w:szCs w:val="21"/>
        </w:rPr>
        <w:t>产品出厂时乙方需提供</w:t>
      </w:r>
      <w:r>
        <w:rPr>
          <w:rFonts w:hint="eastAsia" w:ascii="宋体" w:hAnsi="宋体" w:eastAsia="宋体" w:cs="Times New Roman"/>
          <w:sz w:val="21"/>
          <w:szCs w:val="21"/>
          <w:lang w:val="en-US" w:eastAsia="zh-CN"/>
        </w:rPr>
        <w:t>整套详细装配图及零件图</w:t>
      </w:r>
      <w:r>
        <w:rPr>
          <w:rFonts w:hint="eastAsia" w:ascii="宋体" w:hAnsi="宋体" w:eastAsia="宋体" w:cs="Times New Roman"/>
          <w:sz w:val="21"/>
          <w:szCs w:val="21"/>
        </w:rPr>
        <w:t>。</w:t>
      </w:r>
      <w:r>
        <w:rPr>
          <w:rFonts w:hint="eastAsia" w:ascii="宋体" w:hAnsi="宋体" w:eastAsia="宋体" w:cs="Times New Roman"/>
          <w:sz w:val="21"/>
          <w:szCs w:val="21"/>
          <w:lang w:val="en-US" w:eastAsia="zh-CN"/>
        </w:rPr>
        <w:tab/>
      </w:r>
    </w:p>
    <w:p>
      <w:p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rPr>
        <w:t>4.</w:t>
      </w:r>
      <w:r>
        <w:rPr>
          <w:rFonts w:hint="eastAsia" w:ascii="宋体" w:hAnsi="宋体" w:eastAsia="宋体" w:cs="Times New Roman"/>
          <w:sz w:val="21"/>
          <w:szCs w:val="21"/>
          <w:lang w:val="en-US" w:eastAsia="zh-CN"/>
        </w:rPr>
        <w:t>4</w:t>
      </w:r>
      <w:r>
        <w:rPr>
          <w:rFonts w:hint="eastAsia" w:ascii="宋体" w:hAnsi="宋体" w:eastAsia="宋体" w:cs="Times New Roman"/>
          <w:sz w:val="21"/>
          <w:szCs w:val="21"/>
        </w:rPr>
        <w:t xml:space="preserve"> 邮寄地址</w:t>
      </w:r>
    </w:p>
    <w:p>
      <w:pPr>
        <w:pStyle w:val="4"/>
        <w:spacing w:line="360" w:lineRule="auto"/>
        <w:ind w:firstLine="539" w:firstLineChars="257"/>
        <w:rPr>
          <w:rFonts w:hint="eastAsia" w:hAnsi="宋体" w:eastAsia="宋体" w:cs="Times New Roman"/>
          <w:color w:val="auto"/>
          <w:szCs w:val="21"/>
        </w:rPr>
      </w:pPr>
      <w:r>
        <w:rPr>
          <w:rFonts w:hint="eastAsia" w:hAnsi="宋体" w:eastAsia="宋体" w:cs="Times New Roman"/>
          <w:color w:val="auto"/>
          <w:szCs w:val="21"/>
          <w:lang w:val="en-US" w:eastAsia="zh-CN"/>
        </w:rPr>
        <w:t>甲方邮寄信息：</w:t>
      </w:r>
      <w:r>
        <w:rPr>
          <w:rFonts w:hint="eastAsia" w:hAnsi="宋体" w:eastAsia="宋体" w:cs="Times New Roman"/>
          <w:color w:val="auto"/>
          <w:szCs w:val="21"/>
        </w:rPr>
        <w:t>以酒钢</w:t>
      </w:r>
      <w:r>
        <w:rPr>
          <w:rFonts w:hint="eastAsia" w:hAnsi="宋体" w:eastAsia="宋体" w:cs="Times New Roman"/>
          <w:color w:val="auto"/>
          <w:szCs w:val="21"/>
          <w:lang w:eastAsia="zh-CN"/>
        </w:rPr>
        <w:t>供应链管理分</w:t>
      </w:r>
      <w:r>
        <w:rPr>
          <w:rFonts w:hint="eastAsia" w:hAnsi="宋体" w:eastAsia="宋体" w:cs="Times New Roman"/>
          <w:color w:val="auto"/>
          <w:szCs w:val="21"/>
        </w:rPr>
        <w:t>公司提供的邮寄地址为准；</w:t>
      </w:r>
    </w:p>
    <w:p>
      <w:pPr>
        <w:pStyle w:val="4"/>
        <w:spacing w:line="360" w:lineRule="auto"/>
        <w:ind w:firstLine="539" w:firstLineChars="257"/>
        <w:rPr>
          <w:rFonts w:hint="eastAsia" w:hAnsi="宋体"/>
          <w:color w:val="auto"/>
          <w:szCs w:val="21"/>
        </w:rPr>
      </w:pPr>
      <w:r>
        <w:rPr>
          <w:rFonts w:hint="eastAsia" w:hAnsi="宋体"/>
          <w:color w:val="auto"/>
          <w:szCs w:val="21"/>
        </w:rPr>
        <w:t>邮政编码：735100；</w:t>
      </w:r>
    </w:p>
    <w:p>
      <w:pPr>
        <w:pStyle w:val="4"/>
        <w:spacing w:line="360" w:lineRule="auto"/>
        <w:ind w:firstLine="539" w:firstLineChars="257"/>
        <w:rPr>
          <w:rFonts w:hint="eastAsia" w:ascii="宋体" w:hAnsi="宋体"/>
          <w:b/>
          <w:sz w:val="21"/>
          <w:szCs w:val="21"/>
        </w:rPr>
      </w:pPr>
      <w:r>
        <w:rPr>
          <w:rFonts w:hint="eastAsia" w:ascii="宋体" w:hAnsi="宋体" w:eastAsia="宋体" w:cs="Times New Roman"/>
          <w:color w:val="auto"/>
          <w:kern w:val="2"/>
          <w:sz w:val="21"/>
          <w:szCs w:val="21"/>
          <w:lang w:val="en-US" w:eastAsia="zh-CN" w:bidi="ar-SA"/>
        </w:rPr>
        <w:t>收件人：</w:t>
      </w:r>
      <w:r>
        <w:rPr>
          <w:rFonts w:hint="eastAsia" w:hAnsi="宋体"/>
          <w:color w:val="auto"/>
          <w:szCs w:val="21"/>
          <w:u w:val="single"/>
        </w:rPr>
        <w:t xml:space="preserve">         </w:t>
      </w:r>
      <w:r>
        <w:rPr>
          <w:rFonts w:hint="eastAsia" w:hAnsi="宋体"/>
          <w:color w:val="auto"/>
          <w:szCs w:val="21"/>
        </w:rPr>
        <w:t>。</w:t>
      </w:r>
    </w:p>
    <w:p>
      <w:pPr>
        <w:spacing w:line="360" w:lineRule="auto"/>
        <w:rPr>
          <w:rFonts w:hint="eastAsia" w:ascii="宋体" w:hAnsi="宋体"/>
          <w:b/>
          <w:sz w:val="21"/>
          <w:szCs w:val="21"/>
        </w:rPr>
      </w:pPr>
      <w:r>
        <w:rPr>
          <w:rFonts w:hint="eastAsia" w:ascii="宋体" w:hAnsi="宋体"/>
          <w:b/>
          <w:sz w:val="21"/>
          <w:szCs w:val="21"/>
        </w:rPr>
        <w:t>附件</w:t>
      </w:r>
      <w:r>
        <w:rPr>
          <w:rFonts w:hint="eastAsia" w:ascii="宋体" w:hAnsi="宋体"/>
          <w:b/>
          <w:sz w:val="21"/>
          <w:szCs w:val="21"/>
          <w:lang w:eastAsia="zh-CN"/>
        </w:rPr>
        <w:t>五</w:t>
      </w:r>
      <w:r>
        <w:rPr>
          <w:rFonts w:hint="eastAsia" w:ascii="宋体" w:hAnsi="宋体"/>
          <w:b/>
          <w:sz w:val="21"/>
          <w:szCs w:val="21"/>
        </w:rPr>
        <w:t xml:space="preserve"> 售后服务</w:t>
      </w:r>
    </w:p>
    <w:p>
      <w:pPr>
        <w:tabs>
          <w:tab w:val="left" w:pos="0"/>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5.1 质保期为12个月，该备件从上线使用之日起。质保期内，凡属制造不良、零部件质量缺陷、配置不当、组装不妥、运输问题等原因造成的一切损失，乙方均应包退、包换、包修，并及时派技术人员处理，发生的费用由乙方负担。</w:t>
      </w:r>
    </w:p>
    <w:p>
      <w:pPr>
        <w:tabs>
          <w:tab w:val="left" w:pos="0"/>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5.2 备件在使用过程中出现质量问题，乙方接到甲方通知后12小时内应给以答复，并在48小时内派技术人员到现场处理、如乙方对现场质量问题处理不及时，甲方有权委托第三方进行抢修或修复，所发生的费用由乙方承担。</w:t>
      </w:r>
    </w:p>
    <w:p>
      <w:pPr>
        <w:tabs>
          <w:tab w:val="left" w:pos="0"/>
          <w:tab w:val="left" w:pos="720"/>
          <w:tab w:val="left" w:pos="900"/>
          <w:tab w:val="left" w:pos="1080"/>
        </w:tabs>
        <w:spacing w:line="360" w:lineRule="auto"/>
        <w:rPr>
          <w:rFonts w:hint="eastAsia" w:ascii="宋体" w:hAnsi="宋体"/>
          <w:b/>
          <w:sz w:val="21"/>
          <w:szCs w:val="21"/>
        </w:rPr>
      </w:pPr>
      <w:r>
        <w:rPr>
          <w:rFonts w:hint="eastAsia" w:ascii="宋体" w:hAnsi="宋体"/>
          <w:b/>
          <w:sz w:val="21"/>
          <w:szCs w:val="21"/>
        </w:rPr>
        <w:t>附件</w:t>
      </w:r>
      <w:r>
        <w:rPr>
          <w:rFonts w:hint="eastAsia" w:ascii="宋体" w:hAnsi="宋体"/>
          <w:b/>
          <w:sz w:val="21"/>
          <w:szCs w:val="21"/>
          <w:lang w:eastAsia="zh-CN"/>
        </w:rPr>
        <w:t>六</w:t>
      </w:r>
      <w:r>
        <w:rPr>
          <w:rFonts w:hint="eastAsia" w:ascii="宋体" w:hAnsi="宋体"/>
          <w:b/>
          <w:sz w:val="21"/>
          <w:szCs w:val="21"/>
        </w:rPr>
        <w:t xml:space="preserve">  交货时间及地点</w:t>
      </w:r>
    </w:p>
    <w:p>
      <w:p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rPr>
      </w:pPr>
      <w:r>
        <w:rPr>
          <w:rFonts w:hint="eastAsia" w:ascii="宋体" w:hAnsi="宋体" w:eastAsia="宋体" w:cs="Times New Roman"/>
          <w:sz w:val="21"/>
          <w:szCs w:val="21"/>
        </w:rPr>
        <w:t>6.1 交货时间：以与酒钢</w:t>
      </w:r>
      <w:r>
        <w:rPr>
          <w:rFonts w:hint="eastAsia" w:ascii="宋体" w:hAnsi="宋体" w:eastAsia="宋体" w:cs="Times New Roman"/>
          <w:sz w:val="21"/>
          <w:szCs w:val="21"/>
          <w:lang w:eastAsia="zh-CN"/>
        </w:rPr>
        <w:t>供应链管理分</w:t>
      </w:r>
      <w:r>
        <w:rPr>
          <w:rFonts w:hint="eastAsia" w:ascii="宋体" w:hAnsi="宋体" w:eastAsia="宋体" w:cs="Times New Roman"/>
          <w:sz w:val="21"/>
          <w:szCs w:val="21"/>
        </w:rPr>
        <w:t>公司签订的商务合同交货期为准。</w:t>
      </w:r>
    </w:p>
    <w:p>
      <w:pPr>
        <w:tabs>
          <w:tab w:val="left" w:pos="540"/>
          <w:tab w:val="left" w:pos="720"/>
          <w:tab w:val="left" w:pos="1080"/>
        </w:tabs>
        <w:adjustRightInd/>
        <w:spacing w:line="360" w:lineRule="auto"/>
        <w:ind w:firstLine="525" w:firstLineChars="250"/>
        <w:jc w:val="both"/>
        <w:rPr>
          <w:rFonts w:hint="eastAsia" w:ascii="宋体" w:hAnsi="宋体" w:eastAsia="宋体" w:cs="Times New Roman"/>
          <w:sz w:val="21"/>
          <w:szCs w:val="21"/>
          <w:lang w:val="sq-AL"/>
        </w:rPr>
      </w:pPr>
      <w:r>
        <w:rPr>
          <w:rFonts w:hint="eastAsia" w:ascii="宋体" w:hAnsi="宋体" w:eastAsia="宋体" w:cs="Times New Roman"/>
          <w:sz w:val="21"/>
          <w:szCs w:val="21"/>
        </w:rPr>
        <w:t>6.2 交货地点：以与酒钢</w:t>
      </w:r>
      <w:r>
        <w:rPr>
          <w:rFonts w:hint="eastAsia" w:ascii="宋体" w:hAnsi="宋体" w:eastAsia="宋体" w:cs="Times New Roman"/>
          <w:sz w:val="21"/>
          <w:szCs w:val="21"/>
          <w:lang w:eastAsia="zh-CN"/>
        </w:rPr>
        <w:t>供应链管理分</w:t>
      </w:r>
      <w:r>
        <w:rPr>
          <w:rFonts w:hint="eastAsia" w:ascii="宋体" w:hAnsi="宋体" w:eastAsia="宋体" w:cs="Times New Roman"/>
          <w:sz w:val="21"/>
          <w:szCs w:val="21"/>
        </w:rPr>
        <w:t>公司签订的商务合同交货地为准。</w:t>
      </w:r>
    </w:p>
    <w:p>
      <w:pPr>
        <w:tabs>
          <w:tab w:val="left" w:pos="0"/>
          <w:tab w:val="left" w:pos="720"/>
          <w:tab w:val="left" w:pos="900"/>
          <w:tab w:val="left" w:pos="1080"/>
        </w:tabs>
        <w:spacing w:line="360" w:lineRule="auto"/>
        <w:rPr>
          <w:rFonts w:hint="eastAsia" w:ascii="宋体" w:hAnsi="宋体"/>
          <w:b/>
          <w:sz w:val="21"/>
          <w:szCs w:val="21"/>
        </w:rPr>
      </w:pPr>
    </w:p>
    <w:p>
      <w:pPr>
        <w:tabs>
          <w:tab w:val="left" w:pos="0"/>
          <w:tab w:val="left" w:pos="720"/>
          <w:tab w:val="left" w:pos="900"/>
          <w:tab w:val="left" w:pos="1080"/>
        </w:tabs>
        <w:spacing w:line="360" w:lineRule="auto"/>
        <w:rPr>
          <w:rFonts w:hint="eastAsia" w:ascii="宋体" w:hAnsi="宋体"/>
          <w:b/>
          <w:sz w:val="21"/>
          <w:szCs w:val="21"/>
        </w:rPr>
      </w:pPr>
    </w:p>
    <w:p>
      <w:pPr>
        <w:tabs>
          <w:tab w:val="left" w:pos="0"/>
          <w:tab w:val="left" w:pos="720"/>
          <w:tab w:val="left" w:pos="900"/>
          <w:tab w:val="left" w:pos="1080"/>
        </w:tabs>
        <w:spacing w:line="360" w:lineRule="auto"/>
        <w:rPr>
          <w:rFonts w:hint="eastAsia" w:ascii="宋体" w:hAnsi="宋体"/>
          <w:b/>
          <w:sz w:val="21"/>
          <w:szCs w:val="21"/>
        </w:rPr>
      </w:pPr>
    </w:p>
    <w:p>
      <w:pPr>
        <w:tabs>
          <w:tab w:val="left" w:pos="0"/>
          <w:tab w:val="left" w:pos="720"/>
          <w:tab w:val="left" w:pos="900"/>
          <w:tab w:val="left" w:pos="1080"/>
        </w:tabs>
        <w:spacing w:line="360" w:lineRule="auto"/>
        <w:rPr>
          <w:rFonts w:hint="eastAsia" w:ascii="宋体" w:hAnsi="宋体"/>
          <w:b/>
          <w:sz w:val="21"/>
          <w:szCs w:val="21"/>
        </w:rPr>
      </w:pPr>
      <w:r>
        <w:rPr>
          <w:rFonts w:hint="eastAsia" w:ascii="宋体" w:hAnsi="宋体"/>
          <w:b/>
          <w:sz w:val="21"/>
          <w:szCs w:val="21"/>
        </w:rPr>
        <w:t>附件</w:t>
      </w:r>
      <w:r>
        <w:rPr>
          <w:rFonts w:hint="eastAsia" w:ascii="宋体" w:hAnsi="宋体"/>
          <w:b/>
          <w:sz w:val="21"/>
          <w:szCs w:val="21"/>
          <w:lang w:eastAsia="zh-CN"/>
        </w:rPr>
        <w:t>七</w:t>
      </w:r>
      <w:r>
        <w:rPr>
          <w:rFonts w:hint="eastAsia" w:ascii="宋体" w:hAnsi="宋体"/>
          <w:b/>
          <w:sz w:val="21"/>
          <w:szCs w:val="21"/>
        </w:rPr>
        <w:t xml:space="preserve">   其它</w:t>
      </w:r>
    </w:p>
    <w:p>
      <w:pPr>
        <w:tabs>
          <w:tab w:val="left" w:pos="540"/>
          <w:tab w:val="left" w:pos="720"/>
          <w:tab w:val="left" w:pos="1080"/>
        </w:tabs>
        <w:adjustRightInd/>
        <w:spacing w:line="360" w:lineRule="auto"/>
        <w:ind w:firstLine="525" w:firstLineChars="250"/>
        <w:jc w:val="both"/>
        <w:rPr>
          <w:rFonts w:hint="eastAsia" w:ascii="宋体" w:hAnsi="宋体"/>
          <w:sz w:val="21"/>
          <w:szCs w:val="21"/>
          <w:lang w:val="en-US" w:eastAsia="zh-CN"/>
        </w:rPr>
      </w:pPr>
      <w:r>
        <w:rPr>
          <w:rFonts w:hint="eastAsia" w:ascii="宋体" w:hAnsi="宋体"/>
          <w:sz w:val="21"/>
          <w:szCs w:val="21"/>
          <w:lang w:val="en-US" w:eastAsia="zh-CN"/>
        </w:rPr>
        <w:t>1.本技术规格书内容经由甲乙双方于   年   月   日    时-   时通过    方式商定。</w:t>
      </w:r>
    </w:p>
    <w:p>
      <w:pPr>
        <w:tabs>
          <w:tab w:val="left" w:pos="540"/>
          <w:tab w:val="left" w:pos="720"/>
          <w:tab w:val="left" w:pos="1080"/>
        </w:tabs>
        <w:adjustRightInd/>
        <w:spacing w:line="360" w:lineRule="auto"/>
        <w:ind w:firstLine="525" w:firstLineChars="250"/>
        <w:jc w:val="both"/>
        <w:rPr>
          <w:rFonts w:hint="default" w:ascii="宋体" w:hAnsi="宋体"/>
          <w:sz w:val="21"/>
          <w:szCs w:val="21"/>
          <w:lang w:val="en-US" w:eastAsia="zh-CN"/>
        </w:rPr>
      </w:pPr>
      <w:r>
        <w:rPr>
          <w:rFonts w:hint="eastAsia" w:ascii="宋体" w:hAnsi="宋体"/>
          <w:sz w:val="21"/>
          <w:szCs w:val="21"/>
          <w:lang w:val="en-US" w:eastAsia="zh-CN"/>
        </w:rPr>
        <w:t>2.甲乙双方应当就签订本技术规格书的相关事宜保密，不得将签订主体、时间、内容等信息透露给其他第三人。</w:t>
      </w:r>
    </w:p>
    <w:p>
      <w:pPr>
        <w:tabs>
          <w:tab w:val="left" w:pos="540"/>
          <w:tab w:val="left" w:pos="720"/>
          <w:tab w:val="left" w:pos="1080"/>
        </w:tabs>
        <w:adjustRightInd/>
        <w:spacing w:line="360" w:lineRule="auto"/>
        <w:ind w:firstLine="525" w:firstLineChars="250"/>
        <w:jc w:val="both"/>
        <w:rPr>
          <w:rFonts w:hint="default" w:ascii="宋体" w:hAnsi="宋体"/>
          <w:sz w:val="21"/>
          <w:szCs w:val="21"/>
          <w:lang w:val="en-US" w:eastAsia="zh-CN"/>
        </w:rPr>
      </w:pPr>
      <w:r>
        <w:rPr>
          <w:rFonts w:hint="eastAsia" w:ascii="宋体" w:hAnsi="宋体"/>
          <w:sz w:val="21"/>
          <w:szCs w:val="21"/>
          <w:lang w:val="en-US" w:eastAsia="zh-CN"/>
        </w:rPr>
        <w:t>3.若乙方公司不能中标，则本技术规格书自动失效，双方不承担任何责任。</w:t>
      </w:r>
    </w:p>
    <w:p>
      <w:pPr>
        <w:tabs>
          <w:tab w:val="left" w:pos="540"/>
          <w:tab w:val="left" w:pos="720"/>
          <w:tab w:val="left" w:pos="1080"/>
        </w:tabs>
        <w:adjustRightInd/>
        <w:spacing w:line="360" w:lineRule="auto"/>
        <w:ind w:firstLine="525" w:firstLineChars="250"/>
        <w:jc w:val="both"/>
        <w:rPr>
          <w:rFonts w:hint="eastAsia" w:ascii="宋体" w:hAnsi="宋体"/>
          <w:sz w:val="21"/>
          <w:szCs w:val="21"/>
          <w:lang w:val="en-US" w:eastAsia="zh-CN"/>
        </w:rPr>
      </w:pPr>
      <w:r>
        <w:rPr>
          <w:rFonts w:hint="eastAsia" w:ascii="宋体" w:hAnsi="宋体"/>
          <w:sz w:val="21"/>
          <w:szCs w:val="21"/>
          <w:lang w:val="en-US" w:eastAsia="zh-CN"/>
        </w:rPr>
        <w:t>4.技术规格书一式四份，甲方三份，乙方一份。</w:t>
      </w:r>
    </w:p>
    <w:p>
      <w:pPr>
        <w:tabs>
          <w:tab w:val="left" w:pos="1943"/>
        </w:tabs>
        <w:rPr>
          <w:rFonts w:hint="eastAsia" w:ascii="宋体" w:hAnsi="宋体"/>
          <w:b/>
          <w:sz w:val="28"/>
          <w:szCs w:val="28"/>
        </w:rPr>
      </w:pPr>
      <w:bookmarkStart w:id="0" w:name="_GoBack"/>
      <w:bookmarkEnd w:id="0"/>
    </w:p>
    <w:p>
      <w:pPr>
        <w:tabs>
          <w:tab w:val="left" w:pos="1943"/>
        </w:tabs>
        <w:rPr>
          <w:rFonts w:hint="eastAsia" w:ascii="宋体" w:hAnsi="宋体"/>
          <w:b/>
          <w:sz w:val="28"/>
          <w:szCs w:val="28"/>
        </w:rPr>
      </w:pPr>
    </w:p>
    <w:p>
      <w:pPr>
        <w:tabs>
          <w:tab w:val="left" w:pos="1943"/>
        </w:tabs>
        <w:rPr>
          <w:rFonts w:hint="eastAsia" w:ascii="宋体" w:hAnsi="宋体"/>
          <w:b/>
          <w:sz w:val="28"/>
          <w:szCs w:val="28"/>
        </w:rPr>
      </w:pPr>
      <w:r>
        <w:rPr>
          <w:rFonts w:hint="eastAsia" w:ascii="宋体" w:hAnsi="宋体"/>
          <w:b/>
          <w:sz w:val="28"/>
          <w:szCs w:val="28"/>
        </w:rPr>
        <w:t>甲方：（行政公章）</w:t>
      </w:r>
      <w:r>
        <w:rPr>
          <w:rFonts w:hint="eastAsia" w:ascii="宋体" w:hAnsi="宋体"/>
          <w:b/>
          <w:sz w:val="28"/>
          <w:szCs w:val="28"/>
        </w:rPr>
        <w:tab/>
      </w:r>
      <w:r>
        <w:rPr>
          <w:rFonts w:hint="eastAsia" w:ascii="宋体" w:hAnsi="宋体"/>
          <w:b/>
          <w:sz w:val="28"/>
          <w:szCs w:val="28"/>
        </w:rPr>
        <w:t xml:space="preserve">                 乙方：（合同专用章）</w:t>
      </w:r>
      <w:r>
        <w:rPr>
          <w:rFonts w:hint="eastAsia" w:ascii="宋体" w:hAnsi="宋体"/>
          <w:b/>
          <w:sz w:val="28"/>
          <w:szCs w:val="28"/>
        </w:rPr>
        <w:tab/>
      </w:r>
      <w:r>
        <w:rPr>
          <w:rFonts w:hint="eastAsia" w:ascii="宋体" w:hAnsi="宋体"/>
          <w:b/>
          <w:sz w:val="28"/>
          <w:szCs w:val="28"/>
        </w:rPr>
        <w:t xml:space="preserve">               </w:t>
      </w:r>
    </w:p>
    <w:p>
      <w:pPr>
        <w:rPr>
          <w:rFonts w:hint="eastAsia" w:ascii="宋体" w:hAnsi="宋体"/>
          <w:b/>
          <w:sz w:val="28"/>
          <w:szCs w:val="28"/>
        </w:rPr>
      </w:pPr>
      <w:r>
        <w:rPr>
          <w:rFonts w:hint="eastAsia" w:ascii="宋体" w:hAnsi="宋体"/>
          <w:b/>
          <w:sz w:val="28"/>
          <w:szCs w:val="28"/>
        </w:rPr>
        <w:t>甲方代表：</w:t>
      </w:r>
      <w:r>
        <w:rPr>
          <w:rFonts w:hint="eastAsia" w:ascii="宋体" w:hAnsi="宋体"/>
          <w:b/>
          <w:sz w:val="28"/>
          <w:szCs w:val="28"/>
        </w:rPr>
        <w:tab/>
      </w:r>
      <w:r>
        <w:rPr>
          <w:rFonts w:hint="eastAsia" w:ascii="宋体" w:hAnsi="宋体"/>
          <w:b/>
          <w:sz w:val="28"/>
          <w:szCs w:val="28"/>
        </w:rPr>
        <w:t xml:space="preserve">                          乙方代表：</w:t>
      </w:r>
    </w:p>
    <w:p>
      <w:pPr>
        <w:rPr>
          <w:rFonts w:hint="eastAsia" w:ascii="宋体" w:hAnsi="宋体"/>
          <w:b/>
          <w:sz w:val="28"/>
          <w:szCs w:val="28"/>
        </w:rPr>
      </w:pPr>
    </w:p>
    <w:p>
      <w:pPr>
        <w:rPr>
          <w:rFonts w:hint="eastAsia" w:ascii="宋体" w:hAnsi="宋体"/>
          <w:b/>
          <w:sz w:val="28"/>
          <w:szCs w:val="28"/>
        </w:rPr>
      </w:pPr>
      <w:r>
        <w:rPr>
          <w:rFonts w:hint="eastAsia" w:ascii="宋体" w:hAnsi="宋体"/>
          <w:b/>
          <w:sz w:val="28"/>
          <w:szCs w:val="28"/>
        </w:rPr>
        <w:t xml:space="preserve">   年   月   日</w:t>
      </w:r>
      <w:r>
        <w:rPr>
          <w:rFonts w:hint="eastAsia" w:ascii="宋体" w:hAnsi="宋体"/>
          <w:b/>
          <w:sz w:val="28"/>
          <w:szCs w:val="28"/>
        </w:rPr>
        <w:tab/>
      </w:r>
      <w:r>
        <w:rPr>
          <w:rFonts w:hint="eastAsia" w:ascii="宋体" w:hAnsi="宋体"/>
          <w:b/>
          <w:sz w:val="28"/>
          <w:szCs w:val="28"/>
        </w:rPr>
        <w:t xml:space="preserve">                          年   月   日</w:t>
      </w:r>
    </w:p>
    <w:p>
      <w:pPr>
        <w:rPr>
          <w:rFonts w:hint="eastAsia" w:ascii="宋体" w:hAnsi="宋体"/>
          <w:b/>
          <w:sz w:val="28"/>
          <w:szCs w:val="28"/>
        </w:rPr>
      </w:pPr>
    </w:p>
    <w:p>
      <w:pPr>
        <w:rPr>
          <w:rFonts w:hint="eastAsia" w:ascii="宋体" w:hAnsi="宋体"/>
          <w:b/>
          <w:sz w:val="28"/>
          <w:szCs w:val="28"/>
        </w:rPr>
      </w:pPr>
    </w:p>
    <w:p>
      <w:pPr>
        <w:keepNext w:val="0"/>
        <w:keepLines w:val="0"/>
        <w:widowControl w:val="0"/>
        <w:suppressLineNumbers w:val="0"/>
        <w:adjustRightInd w:val="0"/>
        <w:spacing w:before="0" w:beforeAutospacing="0" w:after="0" w:afterAutospacing="0" w:line="360" w:lineRule="atLeast"/>
        <w:ind w:left="0" w:right="0"/>
        <w:jc w:val="left"/>
      </w:pPr>
      <w:r>
        <w:rPr>
          <w:rFonts w:hint="eastAsia" w:ascii="宋体" w:hAnsi="宋体" w:eastAsia="宋体" w:cs="宋体"/>
          <w:b/>
          <w:bCs w:val="0"/>
          <w:kern w:val="0"/>
          <w:sz w:val="21"/>
          <w:szCs w:val="21"/>
          <w:lang w:val="en-US" w:eastAsia="zh-CN" w:bidi="ar"/>
        </w:rPr>
        <w:t>附件八</w:t>
      </w:r>
      <w:r>
        <w:rPr>
          <w:rFonts w:hint="eastAsia" w:ascii="宋体" w:hAnsi="宋体" w:eastAsia="宋体" w:cs="Times New Roman"/>
          <w:b/>
          <w:bCs w:val="0"/>
          <w:kern w:val="0"/>
          <w:sz w:val="21"/>
          <w:szCs w:val="21"/>
          <w:lang w:val="en-US" w:eastAsia="zh-CN" w:bidi="ar"/>
        </w:rPr>
        <w:t xml:space="preserve">   </w:t>
      </w:r>
      <w:r>
        <w:rPr>
          <w:rFonts w:hint="eastAsia" w:ascii="宋体" w:hAnsi="宋体" w:eastAsia="宋体" w:cs="宋体"/>
          <w:b/>
          <w:bCs w:val="0"/>
          <w:kern w:val="0"/>
          <w:sz w:val="21"/>
          <w:szCs w:val="21"/>
          <w:lang w:val="en-US" w:eastAsia="zh-CN" w:bidi="ar"/>
        </w:rPr>
        <w:t>订货图</w:t>
      </w:r>
    </w:p>
    <w:p>
      <w:pPr>
        <w:tabs>
          <w:tab w:val="right" w:pos="8465"/>
        </w:tabs>
        <w:rPr>
          <w:rFonts w:hint="eastAsia" w:ascii="宋体" w:hAnsi="宋体" w:eastAsia="宋体"/>
          <w:b/>
          <w:sz w:val="28"/>
          <w:szCs w:val="28"/>
          <w:lang w:eastAsia="zh-CN"/>
        </w:rPr>
      </w:pPr>
      <w:r>
        <w:drawing>
          <wp:inline distT="0" distB="0" distL="114300" distR="114300">
            <wp:extent cx="5371465" cy="3798570"/>
            <wp:effectExtent l="0" t="0" r="635" b="1143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371465" cy="3798570"/>
                    </a:xfrm>
                    <a:prstGeom prst="rect">
                      <a:avLst/>
                    </a:prstGeom>
                    <a:noFill/>
                    <a:ln>
                      <a:noFill/>
                    </a:ln>
                  </pic:spPr>
                </pic:pic>
              </a:graphicData>
            </a:graphic>
          </wp:inline>
        </w:drawing>
      </w:r>
    </w:p>
    <w:sectPr>
      <w:pgSz w:w="11906" w:h="16838"/>
      <w:pgMar w:top="737" w:right="1797" w:bottom="907"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80E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79D9"/>
    <w:multiLevelType w:val="multilevel"/>
    <w:tmpl w:val="0EEE79D9"/>
    <w:lvl w:ilvl="0" w:tentative="0">
      <w:start w:val="1"/>
      <w:numFmt w:val="decimal"/>
      <w:lvlText w:val="1.%1"/>
      <w:lvlJc w:val="left"/>
      <w:pPr>
        <w:tabs>
          <w:tab w:val="left" w:pos="0"/>
        </w:tabs>
        <w:ind w:left="0" w:firstLine="0"/>
      </w:pPr>
    </w:lvl>
    <w:lvl w:ilvl="1" w:tentative="0">
      <w:start w:val="1"/>
      <w:numFmt w:val="decimal"/>
      <w:lvlText w:val="%2、"/>
      <w:lvlJc w:val="left"/>
      <w:pPr>
        <w:tabs>
          <w:tab w:val="left" w:pos="1260"/>
        </w:tabs>
        <w:ind w:left="12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51E402F"/>
    <w:multiLevelType w:val="multilevel"/>
    <w:tmpl w:val="751E402F"/>
    <w:lvl w:ilvl="0" w:tentative="0">
      <w:start w:val="2"/>
      <w:numFmt w:val="decimal"/>
      <w:lvlText w:val="%1"/>
      <w:lvlJc w:val="left"/>
      <w:pPr>
        <w:tabs>
          <w:tab w:val="left" w:pos="525"/>
        </w:tabs>
        <w:ind w:left="525" w:hanging="525"/>
      </w:pPr>
    </w:lvl>
    <w:lvl w:ilvl="1" w:tentative="0">
      <w:start w:val="1"/>
      <w:numFmt w:val="decimal"/>
      <w:lvlText w:val="%1.%2"/>
      <w:lvlJc w:val="left"/>
      <w:pPr>
        <w:tabs>
          <w:tab w:val="left" w:pos="1050"/>
        </w:tabs>
        <w:ind w:left="1050" w:hanging="525"/>
      </w:pPr>
    </w:lvl>
    <w:lvl w:ilvl="2" w:tentative="0">
      <w:start w:val="1"/>
      <w:numFmt w:val="decimal"/>
      <w:lvlText w:val="%1.%2.%3"/>
      <w:lvlJc w:val="left"/>
      <w:pPr>
        <w:tabs>
          <w:tab w:val="left" w:pos="1770"/>
        </w:tabs>
        <w:ind w:left="1770" w:hanging="720"/>
      </w:pPr>
    </w:lvl>
    <w:lvl w:ilvl="3" w:tentative="0">
      <w:start w:val="1"/>
      <w:numFmt w:val="decimal"/>
      <w:lvlText w:val="%1.%2.%3.%4"/>
      <w:lvlJc w:val="left"/>
      <w:pPr>
        <w:tabs>
          <w:tab w:val="left" w:pos="2655"/>
        </w:tabs>
        <w:ind w:left="2655" w:hanging="1080"/>
      </w:pPr>
    </w:lvl>
    <w:lvl w:ilvl="4" w:tentative="0">
      <w:start w:val="1"/>
      <w:numFmt w:val="decimal"/>
      <w:lvlText w:val="%1.%2.%3.%4.%5"/>
      <w:lvlJc w:val="left"/>
      <w:pPr>
        <w:tabs>
          <w:tab w:val="left" w:pos="3180"/>
        </w:tabs>
        <w:ind w:left="3180" w:hanging="1080"/>
      </w:pPr>
    </w:lvl>
    <w:lvl w:ilvl="5" w:tentative="0">
      <w:start w:val="1"/>
      <w:numFmt w:val="decimal"/>
      <w:lvlText w:val="%1.%2.%3.%4.%5.%6"/>
      <w:lvlJc w:val="left"/>
      <w:pPr>
        <w:tabs>
          <w:tab w:val="left" w:pos="4065"/>
        </w:tabs>
        <w:ind w:left="4065" w:hanging="1440"/>
      </w:pPr>
    </w:lvl>
    <w:lvl w:ilvl="6" w:tentative="0">
      <w:start w:val="1"/>
      <w:numFmt w:val="decimal"/>
      <w:lvlText w:val="%1.%2.%3.%4.%5.%6.%7"/>
      <w:lvlJc w:val="left"/>
      <w:pPr>
        <w:tabs>
          <w:tab w:val="left" w:pos="4590"/>
        </w:tabs>
        <w:ind w:left="4590" w:hanging="1440"/>
      </w:pPr>
    </w:lvl>
    <w:lvl w:ilvl="7" w:tentative="0">
      <w:start w:val="1"/>
      <w:numFmt w:val="decimal"/>
      <w:lvlText w:val="%1.%2.%3.%4.%5.%6.%7.%8"/>
      <w:lvlJc w:val="left"/>
      <w:pPr>
        <w:tabs>
          <w:tab w:val="left" w:pos="5475"/>
        </w:tabs>
        <w:ind w:left="5475" w:hanging="1800"/>
      </w:pPr>
    </w:lvl>
    <w:lvl w:ilvl="8" w:tentative="0">
      <w:start w:val="1"/>
      <w:numFmt w:val="decimal"/>
      <w:lvlText w:val="%1.%2.%3.%4.%5.%6.%7.%8.%9"/>
      <w:lvlJc w:val="left"/>
      <w:pPr>
        <w:tabs>
          <w:tab w:val="left" w:pos="6000"/>
        </w:tabs>
        <w:ind w:left="6000" w:hanging="1800"/>
      </w:pPr>
    </w:lvl>
  </w:abstractNum>
  <w:num w:numId="1">
    <w:abstractNumId w:val="0"/>
    <w:lvlOverride w:ilvl="0">
      <w:startOverride w:val="1"/>
    </w:lvlOverride>
  </w:num>
  <w:num w:numId="2">
    <w:abstractNumId w:val="1"/>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xMzY5NzZiN2ViN2JjMmE3ODQ5Y2I4OTJiNWE5YTAifQ=="/>
  </w:docVars>
  <w:rsids>
    <w:rsidRoot w:val="00A23415"/>
    <w:rsid w:val="00011207"/>
    <w:rsid w:val="00066391"/>
    <w:rsid w:val="000C0126"/>
    <w:rsid w:val="0010187E"/>
    <w:rsid w:val="001934A8"/>
    <w:rsid w:val="001B2694"/>
    <w:rsid w:val="002273D9"/>
    <w:rsid w:val="00276DE3"/>
    <w:rsid w:val="00383A91"/>
    <w:rsid w:val="003C3CF1"/>
    <w:rsid w:val="003C78CD"/>
    <w:rsid w:val="004008F1"/>
    <w:rsid w:val="005503E4"/>
    <w:rsid w:val="005572E5"/>
    <w:rsid w:val="00581022"/>
    <w:rsid w:val="005924CE"/>
    <w:rsid w:val="005C6707"/>
    <w:rsid w:val="00603B53"/>
    <w:rsid w:val="00685518"/>
    <w:rsid w:val="0075139D"/>
    <w:rsid w:val="007864D1"/>
    <w:rsid w:val="008139E0"/>
    <w:rsid w:val="00826147"/>
    <w:rsid w:val="008425C4"/>
    <w:rsid w:val="00862926"/>
    <w:rsid w:val="00882069"/>
    <w:rsid w:val="009451C6"/>
    <w:rsid w:val="009A3FF0"/>
    <w:rsid w:val="00A22BE5"/>
    <w:rsid w:val="00A23415"/>
    <w:rsid w:val="00A268E5"/>
    <w:rsid w:val="00AC2243"/>
    <w:rsid w:val="00AD0B60"/>
    <w:rsid w:val="00AE1865"/>
    <w:rsid w:val="00B2192E"/>
    <w:rsid w:val="00B52889"/>
    <w:rsid w:val="00BC3E61"/>
    <w:rsid w:val="00BD61C5"/>
    <w:rsid w:val="00C02F26"/>
    <w:rsid w:val="00C87094"/>
    <w:rsid w:val="00CD156B"/>
    <w:rsid w:val="00D941A5"/>
    <w:rsid w:val="00DA055E"/>
    <w:rsid w:val="00EA2963"/>
    <w:rsid w:val="00F13DF0"/>
    <w:rsid w:val="00FB49BB"/>
    <w:rsid w:val="00FC3C3B"/>
    <w:rsid w:val="00FD06C8"/>
    <w:rsid w:val="01E62710"/>
    <w:rsid w:val="02362ADC"/>
    <w:rsid w:val="04BA3C3B"/>
    <w:rsid w:val="067B4115"/>
    <w:rsid w:val="07C058FF"/>
    <w:rsid w:val="0ADD6A6C"/>
    <w:rsid w:val="0C3F7BB0"/>
    <w:rsid w:val="10E32902"/>
    <w:rsid w:val="12526251"/>
    <w:rsid w:val="129E4F41"/>
    <w:rsid w:val="13384B1E"/>
    <w:rsid w:val="1351449B"/>
    <w:rsid w:val="15231AC9"/>
    <w:rsid w:val="155B07A3"/>
    <w:rsid w:val="16522524"/>
    <w:rsid w:val="166116F3"/>
    <w:rsid w:val="166F5E62"/>
    <w:rsid w:val="16820DF6"/>
    <w:rsid w:val="16DF3B6C"/>
    <w:rsid w:val="170261DD"/>
    <w:rsid w:val="1722234E"/>
    <w:rsid w:val="17677730"/>
    <w:rsid w:val="17F20AB0"/>
    <w:rsid w:val="18572BBE"/>
    <w:rsid w:val="18D07C10"/>
    <w:rsid w:val="1C200A22"/>
    <w:rsid w:val="1D2E1B73"/>
    <w:rsid w:val="1D84668A"/>
    <w:rsid w:val="1EBA7398"/>
    <w:rsid w:val="1ED50E3F"/>
    <w:rsid w:val="1F76346B"/>
    <w:rsid w:val="1FAF774D"/>
    <w:rsid w:val="1FF33D92"/>
    <w:rsid w:val="1FFF62A8"/>
    <w:rsid w:val="208B7A8B"/>
    <w:rsid w:val="21B2773D"/>
    <w:rsid w:val="23C119D9"/>
    <w:rsid w:val="27560B33"/>
    <w:rsid w:val="29051210"/>
    <w:rsid w:val="29626746"/>
    <w:rsid w:val="2A5A7254"/>
    <w:rsid w:val="2D2E1BC8"/>
    <w:rsid w:val="2E0B67AD"/>
    <w:rsid w:val="2ED375FA"/>
    <w:rsid w:val="31511370"/>
    <w:rsid w:val="34535632"/>
    <w:rsid w:val="35C971FC"/>
    <w:rsid w:val="38F239B9"/>
    <w:rsid w:val="39DF4105"/>
    <w:rsid w:val="3A1B544C"/>
    <w:rsid w:val="3ACE1BEE"/>
    <w:rsid w:val="3B4402BD"/>
    <w:rsid w:val="3B650F46"/>
    <w:rsid w:val="3BF73B0E"/>
    <w:rsid w:val="3E2B7EB9"/>
    <w:rsid w:val="3E862A21"/>
    <w:rsid w:val="3F834EE3"/>
    <w:rsid w:val="40747B46"/>
    <w:rsid w:val="40793C08"/>
    <w:rsid w:val="40DD0293"/>
    <w:rsid w:val="41537F2D"/>
    <w:rsid w:val="417A6978"/>
    <w:rsid w:val="42D90E8C"/>
    <w:rsid w:val="43E42A6A"/>
    <w:rsid w:val="447F4732"/>
    <w:rsid w:val="45905892"/>
    <w:rsid w:val="46797005"/>
    <w:rsid w:val="468477C0"/>
    <w:rsid w:val="46A66ABE"/>
    <w:rsid w:val="46B17F36"/>
    <w:rsid w:val="46CE0A17"/>
    <w:rsid w:val="47162265"/>
    <w:rsid w:val="47533264"/>
    <w:rsid w:val="480113BD"/>
    <w:rsid w:val="488F069E"/>
    <w:rsid w:val="493B3793"/>
    <w:rsid w:val="49ED7D72"/>
    <w:rsid w:val="4A655B5A"/>
    <w:rsid w:val="4CAE1591"/>
    <w:rsid w:val="4EFD765A"/>
    <w:rsid w:val="4F0C0C9A"/>
    <w:rsid w:val="500100D3"/>
    <w:rsid w:val="508543CB"/>
    <w:rsid w:val="51E81D56"/>
    <w:rsid w:val="52465C01"/>
    <w:rsid w:val="528C45CC"/>
    <w:rsid w:val="52BB3FD4"/>
    <w:rsid w:val="53784B50"/>
    <w:rsid w:val="55D83684"/>
    <w:rsid w:val="57E66C75"/>
    <w:rsid w:val="5A0E7032"/>
    <w:rsid w:val="5CA53116"/>
    <w:rsid w:val="5CAE7293"/>
    <w:rsid w:val="5D2E50E6"/>
    <w:rsid w:val="5DBF4422"/>
    <w:rsid w:val="5DE04424"/>
    <w:rsid w:val="60966616"/>
    <w:rsid w:val="60A62FEE"/>
    <w:rsid w:val="60E242ED"/>
    <w:rsid w:val="622C0F6E"/>
    <w:rsid w:val="63972DD1"/>
    <w:rsid w:val="63F968AB"/>
    <w:rsid w:val="6452661E"/>
    <w:rsid w:val="64BB2A19"/>
    <w:rsid w:val="65146326"/>
    <w:rsid w:val="65BB1DD2"/>
    <w:rsid w:val="661467E4"/>
    <w:rsid w:val="66B30FE4"/>
    <w:rsid w:val="682756F0"/>
    <w:rsid w:val="68A04E37"/>
    <w:rsid w:val="68CA77A4"/>
    <w:rsid w:val="68EC09F5"/>
    <w:rsid w:val="697D3FF1"/>
    <w:rsid w:val="6A3A3B41"/>
    <w:rsid w:val="6A916F40"/>
    <w:rsid w:val="6B947BF6"/>
    <w:rsid w:val="6C143995"/>
    <w:rsid w:val="6CAC0642"/>
    <w:rsid w:val="6CCD1611"/>
    <w:rsid w:val="71BC1C54"/>
    <w:rsid w:val="72440A96"/>
    <w:rsid w:val="732A670F"/>
    <w:rsid w:val="73DC213A"/>
    <w:rsid w:val="749566A8"/>
    <w:rsid w:val="75152B20"/>
    <w:rsid w:val="76036758"/>
    <w:rsid w:val="76416530"/>
    <w:rsid w:val="76740CAD"/>
    <w:rsid w:val="76BF646F"/>
    <w:rsid w:val="77196BFB"/>
    <w:rsid w:val="796706F8"/>
    <w:rsid w:val="7AC027B5"/>
    <w:rsid w:val="7B4E69AE"/>
    <w:rsid w:val="7BCD1BB9"/>
    <w:rsid w:val="7D6B0E98"/>
    <w:rsid w:val="7E0F5DD8"/>
    <w:rsid w:val="7E192908"/>
    <w:rsid w:val="7E1A21DD"/>
    <w:rsid w:val="7E2460B7"/>
    <w:rsid w:val="7F0C30AB"/>
    <w:rsid w:val="7FD36AE7"/>
    <w:rsid w:val="7FE431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adjustRightInd w:val="0"/>
      <w:spacing w:line="360" w:lineRule="atLeast"/>
    </w:pPr>
    <w:rPr>
      <w:sz w:val="24"/>
      <w:lang w:val="en-US" w:eastAsia="zh-CN" w:bidi="ar-SA"/>
    </w:rPr>
  </w:style>
  <w:style w:type="paragraph" w:styleId="2">
    <w:name w:val="heading 3"/>
    <w:basedOn w:val="1"/>
    <w:next w:val="1"/>
    <w:qFormat/>
    <w:uiPriority w:val="0"/>
    <w:pPr>
      <w:spacing w:before="300" w:after="120" w:line="288" w:lineRule="auto"/>
      <w:ind w:left="0"/>
      <w:jc w:val="left"/>
      <w:outlineLvl w:val="2"/>
    </w:pPr>
    <w:rPr>
      <w:rFonts w:ascii="Arial" w:hAnsi="Arial" w:eastAsia="等线" w:cs="Arial"/>
      <w:b/>
      <w:bCs/>
      <w:sz w:val="30"/>
      <w:szCs w:val="30"/>
    </w:rPr>
  </w:style>
  <w:style w:type="character" w:default="1" w:styleId="6">
    <w:name w:val="Default Paragraph Font"/>
    <w:semiHidden/>
    <w:uiPriority w:val="0"/>
  </w:style>
  <w:style w:type="table" w:default="1" w:styleId="5">
    <w:name w:val="Normal Table"/>
    <w:semiHidden/>
    <w:uiPriority w:val="0"/>
    <w:tblPr>
      <w:tblStyle w:val="5"/>
      <w:tblLayout w:type="fixed"/>
      <w:tblCellMar>
        <w:top w:w="0" w:type="dxa"/>
        <w:left w:w="108" w:type="dxa"/>
        <w:bottom w:w="0" w:type="dxa"/>
        <w:right w:w="108" w:type="dxa"/>
      </w:tblCellMar>
    </w:tblPr>
  </w:style>
  <w:style w:type="paragraph" w:styleId="3">
    <w:name w:val="Body Text"/>
    <w:basedOn w:val="1"/>
    <w:uiPriority w:val="0"/>
    <w:pPr>
      <w:widowControl/>
      <w:adjustRightInd/>
      <w:spacing w:line="240" w:lineRule="auto"/>
    </w:pPr>
    <w:rPr>
      <w:sz w:val="28"/>
    </w:rPr>
  </w:style>
  <w:style w:type="paragraph" w:styleId="4">
    <w:name w:val="Plain Text"/>
    <w:basedOn w:val="1"/>
    <w:uiPriority w:val="0"/>
    <w:pPr>
      <w:adjustRightInd/>
      <w:spacing w:line="240" w:lineRule="auto"/>
      <w:jc w:val="both"/>
    </w:pPr>
    <w:rPr>
      <w:rFonts w:ascii="宋体" w:hAnsi="Courier New"/>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1666</Words>
  <Characters>1731</Characters>
  <Lines>9</Lines>
  <Paragraphs>2</Paragraphs>
  <TotalTime>0</TotalTime>
  <ScaleCrop>false</ScaleCrop>
  <LinksUpToDate>false</LinksUpToDate>
  <CharactersWithSpaces>2006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2014-05-21T10:19:00Z</dcterms:created>
  <dc:creator>USER</dc:creator>
  <cp:lastModifiedBy>付庭阁</cp:lastModifiedBy>
  <cp:lastPrinted>2013-03-07T10:49:00Z</cp:lastPrinted>
  <dcterms:modified xsi:type="dcterms:W3CDTF">2026-04-23T06:28:21Z</dcterms:modified>
  <dc:title>甘肃酒钢集团榆中钢铁有限责任公司</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D70B4FDED9044733BC8577CBE18EBCF2</vt:lpwstr>
  </property>
  <property fmtid="{D5CDD505-2E9C-101B-9397-08002B2CF9AE}" pid="4" name="KSOTemplateDocerSaveRecord">
    <vt:lpwstr>eyJoZGlkIjoiZWE0MDUwZjBmYmE3YWRjMTI5YzdiOGJlOWNjZGNmN2UiLCJ1c2VySWQiOiIxNjQyNTIxMzgxIn0=</vt:lpwstr>
  </property>
</Properties>
</file>